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9D" w:rsidRPr="0023089D" w:rsidRDefault="0023089D" w:rsidP="0023089D">
      <w:pPr>
        <w:spacing w:after="0" w:line="240" w:lineRule="auto"/>
        <w:jc w:val="center"/>
        <w:rPr>
          <w:rFonts w:ascii="Arial" w:eastAsia="Times New Roman" w:hAnsi="Arial" w:cs="Arial"/>
          <w:i/>
          <w:iCs/>
          <w:sz w:val="20"/>
          <w:szCs w:val="20"/>
          <w:u w:val="single"/>
        </w:rPr>
      </w:pPr>
      <w:bookmarkStart w:id="0" w:name="_GoBack"/>
      <w:bookmarkEnd w:id="0"/>
      <w:r w:rsidRPr="0023089D">
        <w:rPr>
          <w:rFonts w:ascii="Arial" w:eastAsia="Times New Roman" w:hAnsi="Arial" w:cs="Arial"/>
          <w:i/>
          <w:iCs/>
          <w:sz w:val="20"/>
          <w:szCs w:val="20"/>
          <w:u w:val="single"/>
        </w:rPr>
        <w:t>Responsable Service Pharmacovigilance</w:t>
      </w:r>
    </w:p>
    <w:p w:rsidR="0023089D" w:rsidRDefault="0023089D" w:rsidP="0023089D">
      <w:pPr>
        <w:spacing w:after="0" w:line="240" w:lineRule="auto"/>
        <w:jc w:val="center"/>
        <w:rPr>
          <w:rFonts w:ascii="Arial" w:eastAsia="Times New Roman" w:hAnsi="Arial" w:cs="Arial"/>
          <w:b/>
          <w:bCs/>
          <w:sz w:val="20"/>
          <w:szCs w:val="20"/>
        </w:rPr>
      </w:pPr>
    </w:p>
    <w:p w:rsidR="0023089D" w:rsidRPr="0023089D" w:rsidRDefault="0023089D" w:rsidP="0023089D">
      <w:pPr>
        <w:spacing w:after="0" w:line="240" w:lineRule="auto"/>
        <w:jc w:val="center"/>
        <w:rPr>
          <w:rFonts w:ascii="Arial" w:eastAsia="Times New Roman" w:hAnsi="Arial" w:cs="Arial"/>
          <w:b/>
          <w:bCs/>
          <w:sz w:val="20"/>
          <w:szCs w:val="20"/>
        </w:rPr>
      </w:pPr>
    </w:p>
    <w:p w:rsidR="0023089D" w:rsidRDefault="0023089D" w:rsidP="0023089D">
      <w:pPr>
        <w:spacing w:after="0" w:line="240" w:lineRule="auto"/>
        <w:rPr>
          <w:rFonts w:ascii="Arial" w:eastAsia="Times New Roman" w:hAnsi="Arial" w:cs="Arial"/>
          <w:b/>
          <w:bCs/>
          <w:i/>
          <w:iCs/>
          <w:sz w:val="20"/>
          <w:szCs w:val="20"/>
        </w:rPr>
      </w:pPr>
    </w:p>
    <w:p w:rsidR="0023089D" w:rsidRDefault="0023089D" w:rsidP="0023089D">
      <w:pPr>
        <w:spacing w:after="0" w:line="240" w:lineRule="auto"/>
        <w:rPr>
          <w:rFonts w:ascii="Arial" w:eastAsia="Times New Roman" w:hAnsi="Arial" w:cs="Arial"/>
          <w:b/>
          <w:bCs/>
          <w:i/>
          <w:iCs/>
          <w:sz w:val="20"/>
          <w:szCs w:val="20"/>
        </w:rPr>
      </w:pPr>
    </w:p>
    <w:p w:rsidR="0023089D" w:rsidRPr="0023089D" w:rsidRDefault="0023089D" w:rsidP="0023089D">
      <w:pPr>
        <w:spacing w:after="0" w:line="240" w:lineRule="auto"/>
        <w:rPr>
          <w:rFonts w:ascii="Verdana" w:eastAsia="Times New Roman" w:hAnsi="Verdana" w:cs="Arial"/>
          <w:sz w:val="20"/>
          <w:szCs w:val="20"/>
        </w:rPr>
      </w:pPr>
      <w:proofErr w:type="spellStart"/>
      <w:r w:rsidRPr="0023089D">
        <w:rPr>
          <w:rFonts w:ascii="Arial" w:eastAsia="Times New Roman" w:hAnsi="Arial" w:cs="Arial"/>
          <w:b/>
          <w:bCs/>
          <w:i/>
          <w:iCs/>
          <w:sz w:val="20"/>
          <w:szCs w:val="20"/>
        </w:rPr>
        <w:t>Boehringer</w:t>
      </w:r>
      <w:proofErr w:type="spellEnd"/>
      <w:r w:rsidRPr="0023089D">
        <w:rPr>
          <w:rFonts w:ascii="Arial" w:eastAsia="Times New Roman" w:hAnsi="Arial" w:cs="Arial"/>
          <w:b/>
          <w:bCs/>
          <w:i/>
          <w:iCs/>
          <w:sz w:val="20"/>
          <w:szCs w:val="20"/>
        </w:rPr>
        <w:t xml:space="preserve"> </w:t>
      </w:r>
      <w:proofErr w:type="spellStart"/>
      <w:r w:rsidRPr="0023089D">
        <w:rPr>
          <w:rFonts w:ascii="Arial" w:eastAsia="Times New Roman" w:hAnsi="Arial" w:cs="Arial"/>
          <w:b/>
          <w:bCs/>
          <w:i/>
          <w:iCs/>
          <w:sz w:val="20"/>
          <w:szCs w:val="20"/>
        </w:rPr>
        <w:t>Ingelheim</w:t>
      </w:r>
      <w:proofErr w:type="spellEnd"/>
      <w:r w:rsidRPr="0023089D">
        <w:rPr>
          <w:rFonts w:ascii="Arial" w:eastAsia="Times New Roman" w:hAnsi="Arial" w:cs="Arial"/>
          <w:b/>
          <w:bCs/>
          <w:i/>
          <w:iCs/>
          <w:sz w:val="20"/>
          <w:szCs w:val="20"/>
        </w:rPr>
        <w:t xml:space="preserve"> Santé Animale (</w:t>
      </w:r>
      <w:proofErr w:type="spellStart"/>
      <w:r w:rsidRPr="0023089D">
        <w:rPr>
          <w:rFonts w:ascii="Arial" w:eastAsia="Times New Roman" w:hAnsi="Arial" w:cs="Arial"/>
          <w:b/>
          <w:bCs/>
          <w:i/>
          <w:iCs/>
          <w:sz w:val="20"/>
          <w:szCs w:val="20"/>
        </w:rPr>
        <w:t>Mérial</w:t>
      </w:r>
      <w:proofErr w:type="spellEnd"/>
      <w:r w:rsidRPr="0023089D">
        <w:rPr>
          <w:rFonts w:ascii="Arial" w:eastAsia="Times New Roman" w:hAnsi="Arial" w:cs="Arial"/>
          <w:b/>
          <w:bCs/>
          <w:i/>
          <w:iCs/>
          <w:sz w:val="20"/>
          <w:szCs w:val="20"/>
        </w:rPr>
        <w:t xml:space="preserve">), s’engage pour améliorer la santé animale. Avec plus de 10 000 collaborateurs dans le monde, la division Santé Animale de </w:t>
      </w:r>
      <w:proofErr w:type="spellStart"/>
      <w:r w:rsidRPr="0023089D">
        <w:rPr>
          <w:rFonts w:ascii="Arial" w:eastAsia="Times New Roman" w:hAnsi="Arial" w:cs="Arial"/>
          <w:b/>
          <w:bCs/>
          <w:i/>
          <w:iCs/>
          <w:sz w:val="20"/>
          <w:szCs w:val="20"/>
        </w:rPr>
        <w:t>Boehringer</w:t>
      </w:r>
      <w:proofErr w:type="spellEnd"/>
      <w:r w:rsidRPr="0023089D">
        <w:rPr>
          <w:rFonts w:ascii="Arial" w:eastAsia="Times New Roman" w:hAnsi="Arial" w:cs="Arial"/>
          <w:b/>
          <w:bCs/>
          <w:i/>
          <w:iCs/>
          <w:sz w:val="20"/>
          <w:szCs w:val="20"/>
        </w:rPr>
        <w:t xml:space="preserve"> </w:t>
      </w:r>
      <w:proofErr w:type="spellStart"/>
      <w:r w:rsidRPr="0023089D">
        <w:rPr>
          <w:rFonts w:ascii="Arial" w:eastAsia="Times New Roman" w:hAnsi="Arial" w:cs="Arial"/>
          <w:b/>
          <w:bCs/>
          <w:i/>
          <w:iCs/>
          <w:sz w:val="20"/>
          <w:szCs w:val="20"/>
        </w:rPr>
        <w:t>Ingelheim</w:t>
      </w:r>
      <w:proofErr w:type="spellEnd"/>
      <w:r w:rsidRPr="0023089D">
        <w:rPr>
          <w:rFonts w:ascii="Arial" w:eastAsia="Times New Roman" w:hAnsi="Arial" w:cs="Arial"/>
          <w:b/>
          <w:bCs/>
          <w:i/>
          <w:iCs/>
          <w:sz w:val="20"/>
          <w:szCs w:val="20"/>
        </w:rPr>
        <w:t xml:space="preserve"> propose des produits sur plus de 150 marchés et est présent dans 99 pays.</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t> </w:t>
      </w:r>
    </w:p>
    <w:p w:rsidR="0023089D" w:rsidRPr="0023089D" w:rsidRDefault="0023089D" w:rsidP="0023089D">
      <w:pPr>
        <w:spacing w:after="0" w:line="240" w:lineRule="auto"/>
        <w:rPr>
          <w:rFonts w:ascii="Verdana" w:eastAsia="Times New Roman" w:hAnsi="Verdana" w:cs="Arial"/>
          <w:sz w:val="20"/>
          <w:szCs w:val="20"/>
        </w:rPr>
      </w:pPr>
    </w:p>
    <w:p w:rsidR="0023089D" w:rsidRDefault="0023089D" w:rsidP="0023089D">
      <w:pPr>
        <w:spacing w:after="0" w:line="240" w:lineRule="auto"/>
        <w:rPr>
          <w:rFonts w:ascii="Calibri" w:eastAsia="Times New Roman" w:hAnsi="Calibri" w:cs="Arial"/>
          <w:b/>
          <w:bCs/>
          <w:sz w:val="20"/>
          <w:szCs w:val="20"/>
          <w:u w:val="single"/>
        </w:rPr>
      </w:pPr>
      <w:r w:rsidRPr="0023089D">
        <w:rPr>
          <w:rFonts w:ascii="Calibri" w:eastAsia="Times New Roman" w:hAnsi="Calibri" w:cs="Arial"/>
          <w:b/>
          <w:bCs/>
          <w:sz w:val="20"/>
          <w:szCs w:val="20"/>
          <w:u w:val="single"/>
        </w:rPr>
        <w:t>Principales responsabilités</w:t>
      </w:r>
    </w:p>
    <w:p w:rsidR="0023089D" w:rsidRDefault="0023089D" w:rsidP="0023089D">
      <w:pPr>
        <w:spacing w:after="0" w:line="240" w:lineRule="auto"/>
        <w:rPr>
          <w:rFonts w:ascii="Calibri" w:eastAsia="Times New Roman" w:hAnsi="Calibri" w:cs="Arial"/>
          <w:b/>
          <w:bCs/>
          <w:sz w:val="20"/>
          <w:szCs w:val="20"/>
          <w:u w:val="single"/>
        </w:rPr>
      </w:pPr>
    </w:p>
    <w:p w:rsidR="0023089D" w:rsidRPr="0023089D" w:rsidRDefault="0023089D" w:rsidP="0023089D">
      <w:pPr>
        <w:spacing w:after="0" w:line="240" w:lineRule="auto"/>
        <w:rPr>
          <w:rFonts w:ascii="Verdana" w:eastAsia="Times New Roman" w:hAnsi="Verdana" w:cs="Arial"/>
          <w:sz w:val="20"/>
          <w:szCs w:val="20"/>
        </w:rPr>
      </w:pPr>
      <w:bookmarkStart w:id="1" w:name="4_0"/>
      <w:r w:rsidRPr="0023089D">
        <w:rPr>
          <w:rFonts w:ascii="Calibri" w:eastAsia="Times New Roman" w:hAnsi="Calibri" w:cs="Arial"/>
          <w:b/>
          <w:bCs/>
          <w:sz w:val="20"/>
          <w:szCs w:val="20"/>
        </w:rPr>
        <w:t>Encadrement du service :</w:t>
      </w:r>
      <w:bookmarkEnd w:id="1"/>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Encadrer l’activité des collaborateurs du service, en veillant à leur développement (Talent Management).</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Assurer la planification des ressources et la gestion du budget du service.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Assurer la continuité des activités des collaborateurs du service en leur absence.</w:t>
      </w:r>
    </w:p>
    <w:p w:rsidR="0023089D" w:rsidRDefault="0023089D" w:rsidP="0023089D">
      <w:pPr>
        <w:spacing w:after="0" w:line="240" w:lineRule="auto"/>
        <w:rPr>
          <w:rFonts w:ascii="Calibri" w:eastAsia="Times New Roman" w:hAnsi="Calibri" w:cs="Arial"/>
          <w:sz w:val="20"/>
          <w:szCs w:val="20"/>
        </w:rPr>
      </w:pPr>
      <w:r w:rsidRPr="0023089D">
        <w:rPr>
          <w:rFonts w:ascii="Calibri" w:eastAsia="Times New Roman" w:hAnsi="Calibri" w:cs="Arial"/>
          <w:sz w:val="20"/>
          <w:szCs w:val="20"/>
        </w:rPr>
        <w:t>Etre amené à effectuer les tâches des collaborateurs du service en cas d’absence ou de surcroît d’activité.</w:t>
      </w:r>
    </w:p>
    <w:p w:rsidR="0023089D" w:rsidRPr="0023089D" w:rsidRDefault="0023089D" w:rsidP="0023089D">
      <w:pPr>
        <w:spacing w:after="0" w:line="240" w:lineRule="auto"/>
        <w:rPr>
          <w:rFonts w:ascii="Verdana" w:eastAsia="Times New Roman" w:hAnsi="Verdana" w:cs="Arial"/>
          <w:sz w:val="20"/>
          <w:szCs w:val="20"/>
        </w:rPr>
      </w:pP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HSE – Procédures règlementaires</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S’assurer du respect de la réglementation inscrite dans les textes réglementaires européens et français, plus particulièrement  le code de la Santé Publique et les référentiels de Bonnes Pratiques (Pharmacovigilance, Distribution). S’aligner avec les règles de PV établies par BI.</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Connaître, appliquer et faire respecter les consignes en matière de Santé, Sécurité et Environnement, et contribuer à l’amélioration de la politique HSE de </w:t>
      </w:r>
      <w:proofErr w:type="spellStart"/>
      <w:r w:rsidRPr="0023089D">
        <w:rPr>
          <w:rFonts w:ascii="Calibri" w:eastAsia="Times New Roman" w:hAnsi="Calibri" w:cs="Arial"/>
          <w:sz w:val="20"/>
          <w:szCs w:val="20"/>
        </w:rPr>
        <w:t>Boehringer</w:t>
      </w:r>
      <w:proofErr w:type="spellEnd"/>
      <w:r w:rsidRPr="0023089D">
        <w:rPr>
          <w:rFonts w:ascii="Calibri" w:eastAsia="Times New Roman" w:hAnsi="Calibri" w:cs="Arial"/>
          <w:sz w:val="20"/>
          <w:szCs w:val="20"/>
        </w:rPr>
        <w:t xml:space="preserve"> </w:t>
      </w:r>
      <w:proofErr w:type="spellStart"/>
      <w:r w:rsidRPr="0023089D">
        <w:rPr>
          <w:rFonts w:ascii="Calibri" w:eastAsia="Times New Roman" w:hAnsi="Calibri" w:cs="Arial"/>
          <w:sz w:val="20"/>
          <w:szCs w:val="20"/>
        </w:rPr>
        <w:t>Ingelheim</w:t>
      </w:r>
      <w:proofErr w:type="spellEnd"/>
      <w:r w:rsidRPr="0023089D">
        <w:rPr>
          <w:rFonts w:ascii="Calibri" w:eastAsia="Times New Roman" w:hAnsi="Calibri" w:cs="Arial"/>
          <w:sz w:val="20"/>
          <w:szCs w:val="20"/>
        </w:rPr>
        <w:t>.</w:t>
      </w:r>
    </w:p>
    <w:p w:rsidR="0023089D" w:rsidRPr="0023089D" w:rsidRDefault="0023089D" w:rsidP="0023089D">
      <w:pPr>
        <w:spacing w:after="0" w:line="240" w:lineRule="auto"/>
        <w:rPr>
          <w:rFonts w:ascii="Verdana" w:eastAsia="Times New Roman" w:hAnsi="Verdana" w:cs="Arial"/>
          <w:sz w:val="20"/>
          <w:szCs w:val="20"/>
        </w:rPr>
      </w:pP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Gestion des rapports réglementaires de PV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Préparer/finaliser les rapports réglementaires de pharmacovigilance pour les produits France.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Soumettre les rapports réglementaires de PV France et </w:t>
      </w:r>
      <w:proofErr w:type="spellStart"/>
      <w:r w:rsidRPr="0023089D">
        <w:rPr>
          <w:rFonts w:ascii="Calibri" w:eastAsia="Times New Roman" w:hAnsi="Calibri" w:cs="Arial"/>
          <w:sz w:val="20"/>
          <w:szCs w:val="20"/>
        </w:rPr>
        <w:t>Corporate</w:t>
      </w:r>
      <w:proofErr w:type="spellEnd"/>
      <w:r w:rsidRPr="0023089D">
        <w:rPr>
          <w:rFonts w:ascii="Calibri" w:eastAsia="Times New Roman" w:hAnsi="Calibri" w:cs="Arial"/>
          <w:sz w:val="20"/>
          <w:szCs w:val="20"/>
        </w:rPr>
        <w:t>.</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Rédiger les réponses aux questions des autorités et les soumettre.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 xml:space="preserve">Pilotage des activités PV et Liaison </w:t>
      </w:r>
      <w:proofErr w:type="spellStart"/>
      <w:r w:rsidRPr="0023089D">
        <w:rPr>
          <w:rFonts w:ascii="Calibri" w:eastAsia="Times New Roman" w:hAnsi="Calibri" w:cs="Arial"/>
          <w:b/>
          <w:bCs/>
          <w:sz w:val="20"/>
          <w:szCs w:val="20"/>
        </w:rPr>
        <w:t>Corporate</w:t>
      </w:r>
      <w:proofErr w:type="spellEnd"/>
      <w:r w:rsidRPr="0023089D">
        <w:rPr>
          <w:rFonts w:ascii="Calibri" w:eastAsia="Times New Roman" w:hAnsi="Calibri" w:cs="Arial"/>
          <w:b/>
          <w:bCs/>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Assurer l’alignement des activités PV avec BI </w:t>
      </w:r>
      <w:proofErr w:type="spellStart"/>
      <w:r w:rsidRPr="0023089D">
        <w:rPr>
          <w:rFonts w:ascii="Calibri" w:eastAsia="Times New Roman" w:hAnsi="Calibri" w:cs="Arial"/>
          <w:sz w:val="20"/>
          <w:szCs w:val="20"/>
        </w:rPr>
        <w:t>Corporate</w:t>
      </w:r>
      <w:proofErr w:type="spellEnd"/>
      <w:r w:rsidRPr="0023089D">
        <w:rPr>
          <w:rFonts w:ascii="Calibri" w:eastAsia="Times New Roman" w:hAnsi="Calibri" w:cs="Arial"/>
          <w:sz w:val="20"/>
          <w:szCs w:val="20"/>
        </w:rPr>
        <w:t xml:space="preserve"> et la liaison avec les autres filiales de BI.</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Représenter l’entreprise auprès de la PV de BI </w:t>
      </w:r>
      <w:proofErr w:type="spellStart"/>
      <w:r w:rsidRPr="0023089D">
        <w:rPr>
          <w:rFonts w:ascii="Calibri" w:eastAsia="Times New Roman" w:hAnsi="Calibri" w:cs="Arial"/>
          <w:sz w:val="20"/>
          <w:szCs w:val="20"/>
        </w:rPr>
        <w:t>Corporate</w:t>
      </w:r>
      <w:proofErr w:type="spellEnd"/>
      <w:r w:rsidRPr="0023089D">
        <w:rPr>
          <w:rFonts w:ascii="Calibri" w:eastAsia="Times New Roman" w:hAnsi="Calibri" w:cs="Arial"/>
          <w:sz w:val="20"/>
          <w:szCs w:val="20"/>
        </w:rPr>
        <w:t xml:space="preserve"> et participer aux groupes de travail internationaux.</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Superviser et contrôler les activités PV du service.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Participer à l’analyse continue du risque/bénéfice des produits.</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Autorités, veille réglementaire et concurrentielle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Représenter la PV France lors d’audit ou d’inspection.</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Participation aux activités du SIMV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Participer et représenter l’entreprise au Syndicat de l’Industrie du Médicament Vétérinaire dans les groupes liés à la PV.</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Optimiser la stratégie réglementaire de l’entreprise en réalisant un benchmark avec les autres entreprises participantes.</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Gestion des évènements indésirables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Enregistrer les rapports d'Evénements Indésirables (EI) dans la base de données de PV globale.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Contrôler et valider les cas entrés par le Coordinateur PV ou les collaborateurs extérieurs au Service.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Evaluer, valider et soumettre aux autorités compétentes les EI.</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Gérer les cas dupliqués France et les cas importés France dans la base globale.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Surveiller et améliorer le système de collecte et de déclaration des EI.</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u w:val="single"/>
        </w:rPr>
        <w:t>Profil du candidat</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lastRenderedPageBreak/>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Formation</w:t>
      </w:r>
      <w:r w:rsidRPr="0023089D">
        <w:rPr>
          <w:rFonts w:ascii="Calibri" w:eastAsia="Times New Roman" w:hAnsi="Calibri" w:cs="Arial"/>
          <w:sz w:val="20"/>
          <w:szCs w:val="20"/>
        </w:rPr>
        <w:t xml:space="preserve"> :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Docteur Vétérinaire spécialisation pharmacovigilance et/ou affaires règlementaires.</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Un minimum de 5 ans d'expérience en Pharmacovigilance dans l'industrie pharmaceutique vétérinaire.</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Compétences</w:t>
      </w:r>
      <w:r w:rsidRPr="0023089D">
        <w:rPr>
          <w:rFonts w:ascii="Calibri" w:eastAsia="Times New Roman" w:hAnsi="Calibri" w:cs="Arial"/>
          <w:sz w:val="20"/>
          <w:szCs w:val="20"/>
        </w:rPr>
        <w:t xml:space="preserve"> :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Anglais courant.</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xml:space="preserve">Avoir une connaissance de base des environnements réglementaires et légaux nationaux et européens de l’activité d’exploitant pharmaceutique vétérinaire (Code la Santé Publique, Bonnes Pratiques, Lignes directrices nationales et internationales)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Avoir des connaissances approfondies de Pharmacovigilance.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Avoir un esprit scientifique critique.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Capacité à encadrer et motiver une équipe.</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Capacité de gestion de projets transverses.</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Verdana" w:eastAsia="Times New Roman" w:hAnsi="Verdana" w:cs="Arial"/>
          <w:sz w:val="20"/>
          <w:szCs w:val="20"/>
        </w:rPr>
        <w:t>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b/>
          <w:bCs/>
          <w:sz w:val="20"/>
          <w:szCs w:val="20"/>
        </w:rPr>
        <w:t>Aptitudes</w:t>
      </w:r>
      <w:r w:rsidRPr="0023089D">
        <w:rPr>
          <w:rFonts w:ascii="Calibri" w:eastAsia="Times New Roman" w:hAnsi="Calibri" w:cs="Arial"/>
          <w:sz w:val="20"/>
          <w:szCs w:val="20"/>
        </w:rPr>
        <w:t xml:space="preserve"> : </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Très bonne organisation personnelle et gestion des priorités.</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Esprit d’équipe, ouverture à l’international, rigueur.</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Autonomie et proactivité, orientation client.</w:t>
      </w:r>
    </w:p>
    <w:p w:rsidR="0023089D" w:rsidRPr="0023089D" w:rsidRDefault="0023089D" w:rsidP="0023089D">
      <w:pPr>
        <w:spacing w:after="0" w:line="240" w:lineRule="auto"/>
        <w:rPr>
          <w:rFonts w:ascii="Verdana" w:eastAsia="Times New Roman" w:hAnsi="Verdana" w:cs="Arial"/>
          <w:sz w:val="20"/>
          <w:szCs w:val="20"/>
        </w:rPr>
      </w:pPr>
      <w:r w:rsidRPr="0023089D">
        <w:rPr>
          <w:rFonts w:ascii="Calibri" w:eastAsia="Times New Roman" w:hAnsi="Calibri" w:cs="Arial"/>
          <w:sz w:val="20"/>
          <w:szCs w:val="20"/>
        </w:rPr>
        <w:t> </w:t>
      </w:r>
    </w:p>
    <w:p w:rsidR="0023089D" w:rsidRDefault="0023089D"/>
    <w:p w:rsidR="0023089D" w:rsidRDefault="0023089D">
      <w:r>
        <w:t>Le poste est basé à Lyon (69007)</w:t>
      </w:r>
    </w:p>
    <w:p w:rsidR="0023089D" w:rsidRDefault="0023089D">
      <w:r>
        <w:t>Pour postuler, envoyez-nous CV + Lettre de motivation et rendez-vous sur https://</w:t>
      </w:r>
      <w:r w:rsidRPr="0023089D">
        <w:t>boehringer.taleo.net/careersection/global+template+career+section+28external29/jobdetail.ftl?job=182940&amp;</w:t>
      </w:r>
      <w:r>
        <w:t>lang=fr</w:t>
      </w:r>
    </w:p>
    <w:sectPr w:rsidR="00230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9D"/>
    <w:rsid w:val="0023089D"/>
    <w:rsid w:val="00CF239B"/>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431">
      <w:bodyDiv w:val="1"/>
      <w:marLeft w:val="0"/>
      <w:marRight w:val="0"/>
      <w:marTop w:val="0"/>
      <w:marBottom w:val="0"/>
      <w:divBdr>
        <w:top w:val="none" w:sz="0" w:space="0" w:color="auto"/>
        <w:left w:val="none" w:sz="0" w:space="0" w:color="auto"/>
        <w:bottom w:val="none" w:sz="0" w:space="0" w:color="auto"/>
        <w:right w:val="none" w:sz="0" w:space="0" w:color="auto"/>
      </w:divBdr>
      <w:divsChild>
        <w:div w:id="102699922">
          <w:marLeft w:val="0"/>
          <w:marRight w:val="0"/>
          <w:marTop w:val="0"/>
          <w:marBottom w:val="0"/>
          <w:divBdr>
            <w:top w:val="none" w:sz="0" w:space="0" w:color="auto"/>
            <w:left w:val="none" w:sz="0" w:space="0" w:color="auto"/>
            <w:bottom w:val="none" w:sz="0" w:space="0" w:color="auto"/>
            <w:right w:val="none" w:sz="0" w:space="0" w:color="auto"/>
          </w:divBdr>
          <w:divsChild>
            <w:div w:id="1571961333">
              <w:marLeft w:val="0"/>
              <w:marRight w:val="0"/>
              <w:marTop w:val="0"/>
              <w:marBottom w:val="0"/>
              <w:divBdr>
                <w:top w:val="none" w:sz="0" w:space="0" w:color="auto"/>
                <w:left w:val="none" w:sz="0" w:space="0" w:color="auto"/>
                <w:bottom w:val="none" w:sz="0" w:space="0" w:color="auto"/>
                <w:right w:val="none" w:sz="0" w:space="0" w:color="auto"/>
              </w:divBdr>
              <w:divsChild>
                <w:div w:id="68426463">
                  <w:marLeft w:val="0"/>
                  <w:marRight w:val="0"/>
                  <w:marTop w:val="0"/>
                  <w:marBottom w:val="0"/>
                  <w:divBdr>
                    <w:top w:val="none" w:sz="0" w:space="0" w:color="auto"/>
                    <w:left w:val="none" w:sz="0" w:space="0" w:color="auto"/>
                    <w:bottom w:val="none" w:sz="0" w:space="0" w:color="auto"/>
                    <w:right w:val="none" w:sz="0" w:space="0" w:color="auto"/>
                  </w:divBdr>
                  <w:divsChild>
                    <w:div w:id="1038359832">
                      <w:marLeft w:val="0"/>
                      <w:marRight w:val="0"/>
                      <w:marTop w:val="0"/>
                      <w:marBottom w:val="0"/>
                      <w:divBdr>
                        <w:top w:val="none" w:sz="0" w:space="0" w:color="auto"/>
                        <w:left w:val="none" w:sz="0" w:space="0" w:color="auto"/>
                        <w:bottom w:val="none" w:sz="0" w:space="0" w:color="auto"/>
                        <w:right w:val="none" w:sz="0" w:space="0" w:color="auto"/>
                      </w:divBdr>
                    </w:div>
                    <w:div w:id="1060907993">
                      <w:marLeft w:val="0"/>
                      <w:marRight w:val="0"/>
                      <w:marTop w:val="0"/>
                      <w:marBottom w:val="0"/>
                      <w:divBdr>
                        <w:top w:val="none" w:sz="0" w:space="0" w:color="auto"/>
                        <w:left w:val="none" w:sz="0" w:space="0" w:color="auto"/>
                        <w:bottom w:val="none" w:sz="0" w:space="0" w:color="auto"/>
                        <w:right w:val="none" w:sz="0" w:space="0" w:color="auto"/>
                      </w:divBdr>
                    </w:div>
                    <w:div w:id="1039016772">
                      <w:marLeft w:val="0"/>
                      <w:marRight w:val="0"/>
                      <w:marTop w:val="0"/>
                      <w:marBottom w:val="0"/>
                      <w:divBdr>
                        <w:top w:val="none" w:sz="0" w:space="0" w:color="auto"/>
                        <w:left w:val="none" w:sz="0" w:space="0" w:color="auto"/>
                        <w:bottom w:val="none" w:sz="0" w:space="0" w:color="auto"/>
                        <w:right w:val="none" w:sz="0" w:space="0" w:color="auto"/>
                      </w:divBdr>
                    </w:div>
                    <w:div w:id="2037457951">
                      <w:marLeft w:val="0"/>
                      <w:marRight w:val="0"/>
                      <w:marTop w:val="0"/>
                      <w:marBottom w:val="0"/>
                      <w:divBdr>
                        <w:top w:val="none" w:sz="0" w:space="0" w:color="auto"/>
                        <w:left w:val="none" w:sz="0" w:space="0" w:color="auto"/>
                        <w:bottom w:val="none" w:sz="0" w:space="0" w:color="auto"/>
                        <w:right w:val="none" w:sz="0" w:space="0" w:color="auto"/>
                      </w:divBdr>
                    </w:div>
                    <w:div w:id="1314869003">
                      <w:marLeft w:val="0"/>
                      <w:marRight w:val="0"/>
                      <w:marTop w:val="0"/>
                      <w:marBottom w:val="0"/>
                      <w:divBdr>
                        <w:top w:val="none" w:sz="0" w:space="0" w:color="auto"/>
                        <w:left w:val="none" w:sz="0" w:space="0" w:color="auto"/>
                        <w:bottom w:val="none" w:sz="0" w:space="0" w:color="auto"/>
                        <w:right w:val="none" w:sz="0" w:space="0" w:color="auto"/>
                      </w:divBdr>
                    </w:div>
                    <w:div w:id="2008285691">
                      <w:marLeft w:val="0"/>
                      <w:marRight w:val="0"/>
                      <w:marTop w:val="0"/>
                      <w:marBottom w:val="0"/>
                      <w:divBdr>
                        <w:top w:val="none" w:sz="0" w:space="0" w:color="auto"/>
                        <w:left w:val="none" w:sz="0" w:space="0" w:color="auto"/>
                        <w:bottom w:val="none" w:sz="0" w:space="0" w:color="auto"/>
                        <w:right w:val="none" w:sz="0" w:space="0" w:color="auto"/>
                      </w:divBdr>
                    </w:div>
                    <w:div w:id="2058040261">
                      <w:marLeft w:val="0"/>
                      <w:marRight w:val="0"/>
                      <w:marTop w:val="0"/>
                      <w:marBottom w:val="0"/>
                      <w:divBdr>
                        <w:top w:val="none" w:sz="0" w:space="0" w:color="auto"/>
                        <w:left w:val="none" w:sz="0" w:space="0" w:color="auto"/>
                        <w:bottom w:val="none" w:sz="0" w:space="0" w:color="auto"/>
                        <w:right w:val="none" w:sz="0" w:space="0" w:color="auto"/>
                      </w:divBdr>
                    </w:div>
                    <w:div w:id="903030276">
                      <w:marLeft w:val="0"/>
                      <w:marRight w:val="0"/>
                      <w:marTop w:val="0"/>
                      <w:marBottom w:val="0"/>
                      <w:divBdr>
                        <w:top w:val="none" w:sz="0" w:space="0" w:color="auto"/>
                        <w:left w:val="none" w:sz="0" w:space="0" w:color="auto"/>
                        <w:bottom w:val="none" w:sz="0" w:space="0" w:color="auto"/>
                        <w:right w:val="none" w:sz="0" w:space="0" w:color="auto"/>
                      </w:divBdr>
                    </w:div>
                    <w:div w:id="1847865926">
                      <w:marLeft w:val="0"/>
                      <w:marRight w:val="0"/>
                      <w:marTop w:val="0"/>
                      <w:marBottom w:val="0"/>
                      <w:divBdr>
                        <w:top w:val="none" w:sz="0" w:space="0" w:color="auto"/>
                        <w:left w:val="none" w:sz="0" w:space="0" w:color="auto"/>
                        <w:bottom w:val="none" w:sz="0" w:space="0" w:color="auto"/>
                        <w:right w:val="none" w:sz="0" w:space="0" w:color="auto"/>
                      </w:divBdr>
                    </w:div>
                    <w:div w:id="806779439">
                      <w:marLeft w:val="0"/>
                      <w:marRight w:val="0"/>
                      <w:marTop w:val="0"/>
                      <w:marBottom w:val="0"/>
                      <w:divBdr>
                        <w:top w:val="none" w:sz="0" w:space="0" w:color="auto"/>
                        <w:left w:val="none" w:sz="0" w:space="0" w:color="auto"/>
                        <w:bottom w:val="none" w:sz="0" w:space="0" w:color="auto"/>
                        <w:right w:val="none" w:sz="0" w:space="0" w:color="auto"/>
                      </w:divBdr>
                    </w:div>
                    <w:div w:id="24791672">
                      <w:marLeft w:val="0"/>
                      <w:marRight w:val="0"/>
                      <w:marTop w:val="0"/>
                      <w:marBottom w:val="0"/>
                      <w:divBdr>
                        <w:top w:val="none" w:sz="0" w:space="0" w:color="auto"/>
                        <w:left w:val="none" w:sz="0" w:space="0" w:color="auto"/>
                        <w:bottom w:val="none" w:sz="0" w:space="0" w:color="auto"/>
                        <w:right w:val="none" w:sz="0" w:space="0" w:color="auto"/>
                      </w:divBdr>
                    </w:div>
                    <w:div w:id="118577460">
                      <w:marLeft w:val="0"/>
                      <w:marRight w:val="0"/>
                      <w:marTop w:val="0"/>
                      <w:marBottom w:val="0"/>
                      <w:divBdr>
                        <w:top w:val="none" w:sz="0" w:space="0" w:color="auto"/>
                        <w:left w:val="none" w:sz="0" w:space="0" w:color="auto"/>
                        <w:bottom w:val="none" w:sz="0" w:space="0" w:color="auto"/>
                        <w:right w:val="none" w:sz="0" w:space="0" w:color="auto"/>
                      </w:divBdr>
                    </w:div>
                    <w:div w:id="927275537">
                      <w:marLeft w:val="0"/>
                      <w:marRight w:val="0"/>
                      <w:marTop w:val="0"/>
                      <w:marBottom w:val="0"/>
                      <w:divBdr>
                        <w:top w:val="none" w:sz="0" w:space="0" w:color="auto"/>
                        <w:left w:val="none" w:sz="0" w:space="0" w:color="auto"/>
                        <w:bottom w:val="none" w:sz="0" w:space="0" w:color="auto"/>
                        <w:right w:val="none" w:sz="0" w:space="0" w:color="auto"/>
                      </w:divBdr>
                    </w:div>
                    <w:div w:id="118304002">
                      <w:marLeft w:val="0"/>
                      <w:marRight w:val="0"/>
                      <w:marTop w:val="0"/>
                      <w:marBottom w:val="0"/>
                      <w:divBdr>
                        <w:top w:val="none" w:sz="0" w:space="0" w:color="auto"/>
                        <w:left w:val="none" w:sz="0" w:space="0" w:color="auto"/>
                        <w:bottom w:val="none" w:sz="0" w:space="0" w:color="auto"/>
                        <w:right w:val="none" w:sz="0" w:space="0" w:color="auto"/>
                      </w:divBdr>
                    </w:div>
                    <w:div w:id="1092356498">
                      <w:marLeft w:val="0"/>
                      <w:marRight w:val="0"/>
                      <w:marTop w:val="0"/>
                      <w:marBottom w:val="0"/>
                      <w:divBdr>
                        <w:top w:val="none" w:sz="0" w:space="0" w:color="auto"/>
                        <w:left w:val="none" w:sz="0" w:space="0" w:color="auto"/>
                        <w:bottom w:val="none" w:sz="0" w:space="0" w:color="auto"/>
                        <w:right w:val="none" w:sz="0" w:space="0" w:color="auto"/>
                      </w:divBdr>
                    </w:div>
                    <w:div w:id="765659047">
                      <w:marLeft w:val="0"/>
                      <w:marRight w:val="0"/>
                      <w:marTop w:val="0"/>
                      <w:marBottom w:val="0"/>
                      <w:divBdr>
                        <w:top w:val="none" w:sz="0" w:space="0" w:color="auto"/>
                        <w:left w:val="none" w:sz="0" w:space="0" w:color="auto"/>
                        <w:bottom w:val="none" w:sz="0" w:space="0" w:color="auto"/>
                        <w:right w:val="none" w:sz="0" w:space="0" w:color="auto"/>
                      </w:divBdr>
                    </w:div>
                    <w:div w:id="166285898">
                      <w:marLeft w:val="0"/>
                      <w:marRight w:val="0"/>
                      <w:marTop w:val="0"/>
                      <w:marBottom w:val="0"/>
                      <w:divBdr>
                        <w:top w:val="none" w:sz="0" w:space="0" w:color="auto"/>
                        <w:left w:val="none" w:sz="0" w:space="0" w:color="auto"/>
                        <w:bottom w:val="none" w:sz="0" w:space="0" w:color="auto"/>
                        <w:right w:val="none" w:sz="0" w:space="0" w:color="auto"/>
                      </w:divBdr>
                    </w:div>
                    <w:div w:id="6099623">
                      <w:marLeft w:val="0"/>
                      <w:marRight w:val="0"/>
                      <w:marTop w:val="0"/>
                      <w:marBottom w:val="0"/>
                      <w:divBdr>
                        <w:top w:val="none" w:sz="0" w:space="0" w:color="auto"/>
                        <w:left w:val="none" w:sz="0" w:space="0" w:color="auto"/>
                        <w:bottom w:val="none" w:sz="0" w:space="0" w:color="auto"/>
                        <w:right w:val="none" w:sz="0" w:space="0" w:color="auto"/>
                      </w:divBdr>
                    </w:div>
                    <w:div w:id="239566560">
                      <w:marLeft w:val="0"/>
                      <w:marRight w:val="0"/>
                      <w:marTop w:val="0"/>
                      <w:marBottom w:val="0"/>
                      <w:divBdr>
                        <w:top w:val="none" w:sz="0" w:space="0" w:color="auto"/>
                        <w:left w:val="none" w:sz="0" w:space="0" w:color="auto"/>
                        <w:bottom w:val="none" w:sz="0" w:space="0" w:color="auto"/>
                        <w:right w:val="none" w:sz="0" w:space="0" w:color="auto"/>
                      </w:divBdr>
                    </w:div>
                    <w:div w:id="161360598">
                      <w:marLeft w:val="0"/>
                      <w:marRight w:val="0"/>
                      <w:marTop w:val="0"/>
                      <w:marBottom w:val="0"/>
                      <w:divBdr>
                        <w:top w:val="none" w:sz="0" w:space="0" w:color="auto"/>
                        <w:left w:val="none" w:sz="0" w:space="0" w:color="auto"/>
                        <w:bottom w:val="none" w:sz="0" w:space="0" w:color="auto"/>
                        <w:right w:val="none" w:sz="0" w:space="0" w:color="auto"/>
                      </w:divBdr>
                    </w:div>
                    <w:div w:id="1835028735">
                      <w:marLeft w:val="0"/>
                      <w:marRight w:val="0"/>
                      <w:marTop w:val="0"/>
                      <w:marBottom w:val="0"/>
                      <w:divBdr>
                        <w:top w:val="none" w:sz="0" w:space="0" w:color="auto"/>
                        <w:left w:val="none" w:sz="0" w:space="0" w:color="auto"/>
                        <w:bottom w:val="none" w:sz="0" w:space="0" w:color="auto"/>
                        <w:right w:val="none" w:sz="0" w:space="0" w:color="auto"/>
                      </w:divBdr>
                    </w:div>
                    <w:div w:id="1421096746">
                      <w:marLeft w:val="0"/>
                      <w:marRight w:val="0"/>
                      <w:marTop w:val="0"/>
                      <w:marBottom w:val="0"/>
                      <w:divBdr>
                        <w:top w:val="none" w:sz="0" w:space="0" w:color="auto"/>
                        <w:left w:val="none" w:sz="0" w:space="0" w:color="auto"/>
                        <w:bottom w:val="none" w:sz="0" w:space="0" w:color="auto"/>
                        <w:right w:val="none" w:sz="0" w:space="0" w:color="auto"/>
                      </w:divBdr>
                    </w:div>
                    <w:div w:id="1754164269">
                      <w:marLeft w:val="0"/>
                      <w:marRight w:val="0"/>
                      <w:marTop w:val="0"/>
                      <w:marBottom w:val="0"/>
                      <w:divBdr>
                        <w:top w:val="none" w:sz="0" w:space="0" w:color="auto"/>
                        <w:left w:val="none" w:sz="0" w:space="0" w:color="auto"/>
                        <w:bottom w:val="none" w:sz="0" w:space="0" w:color="auto"/>
                        <w:right w:val="none" w:sz="0" w:space="0" w:color="auto"/>
                      </w:divBdr>
                    </w:div>
                    <w:div w:id="643975069">
                      <w:marLeft w:val="0"/>
                      <w:marRight w:val="0"/>
                      <w:marTop w:val="0"/>
                      <w:marBottom w:val="0"/>
                      <w:divBdr>
                        <w:top w:val="none" w:sz="0" w:space="0" w:color="auto"/>
                        <w:left w:val="none" w:sz="0" w:space="0" w:color="auto"/>
                        <w:bottom w:val="none" w:sz="0" w:space="0" w:color="auto"/>
                        <w:right w:val="none" w:sz="0" w:space="0" w:color="auto"/>
                      </w:divBdr>
                    </w:div>
                    <w:div w:id="1909071060">
                      <w:marLeft w:val="0"/>
                      <w:marRight w:val="0"/>
                      <w:marTop w:val="0"/>
                      <w:marBottom w:val="0"/>
                      <w:divBdr>
                        <w:top w:val="none" w:sz="0" w:space="0" w:color="auto"/>
                        <w:left w:val="none" w:sz="0" w:space="0" w:color="auto"/>
                        <w:bottom w:val="none" w:sz="0" w:space="0" w:color="auto"/>
                        <w:right w:val="none" w:sz="0" w:space="0" w:color="auto"/>
                      </w:divBdr>
                    </w:div>
                    <w:div w:id="46219866">
                      <w:marLeft w:val="0"/>
                      <w:marRight w:val="0"/>
                      <w:marTop w:val="0"/>
                      <w:marBottom w:val="0"/>
                      <w:divBdr>
                        <w:top w:val="none" w:sz="0" w:space="0" w:color="auto"/>
                        <w:left w:val="none" w:sz="0" w:space="0" w:color="auto"/>
                        <w:bottom w:val="none" w:sz="0" w:space="0" w:color="auto"/>
                        <w:right w:val="none" w:sz="0" w:space="0" w:color="auto"/>
                      </w:divBdr>
                    </w:div>
                    <w:div w:id="511533404">
                      <w:marLeft w:val="0"/>
                      <w:marRight w:val="0"/>
                      <w:marTop w:val="0"/>
                      <w:marBottom w:val="0"/>
                      <w:divBdr>
                        <w:top w:val="none" w:sz="0" w:space="0" w:color="auto"/>
                        <w:left w:val="none" w:sz="0" w:space="0" w:color="auto"/>
                        <w:bottom w:val="none" w:sz="0" w:space="0" w:color="auto"/>
                        <w:right w:val="none" w:sz="0" w:space="0" w:color="auto"/>
                      </w:divBdr>
                    </w:div>
                    <w:div w:id="945039747">
                      <w:marLeft w:val="0"/>
                      <w:marRight w:val="0"/>
                      <w:marTop w:val="0"/>
                      <w:marBottom w:val="0"/>
                      <w:divBdr>
                        <w:top w:val="none" w:sz="0" w:space="0" w:color="auto"/>
                        <w:left w:val="none" w:sz="0" w:space="0" w:color="auto"/>
                        <w:bottom w:val="none" w:sz="0" w:space="0" w:color="auto"/>
                        <w:right w:val="none" w:sz="0" w:space="0" w:color="auto"/>
                      </w:divBdr>
                    </w:div>
                    <w:div w:id="565653863">
                      <w:marLeft w:val="0"/>
                      <w:marRight w:val="0"/>
                      <w:marTop w:val="0"/>
                      <w:marBottom w:val="0"/>
                      <w:divBdr>
                        <w:top w:val="none" w:sz="0" w:space="0" w:color="auto"/>
                        <w:left w:val="none" w:sz="0" w:space="0" w:color="auto"/>
                        <w:bottom w:val="none" w:sz="0" w:space="0" w:color="auto"/>
                        <w:right w:val="none" w:sz="0" w:space="0" w:color="auto"/>
                      </w:divBdr>
                    </w:div>
                    <w:div w:id="1580170774">
                      <w:marLeft w:val="0"/>
                      <w:marRight w:val="0"/>
                      <w:marTop w:val="0"/>
                      <w:marBottom w:val="0"/>
                      <w:divBdr>
                        <w:top w:val="none" w:sz="0" w:space="0" w:color="auto"/>
                        <w:left w:val="none" w:sz="0" w:space="0" w:color="auto"/>
                        <w:bottom w:val="none" w:sz="0" w:space="0" w:color="auto"/>
                        <w:right w:val="none" w:sz="0" w:space="0" w:color="auto"/>
                      </w:divBdr>
                    </w:div>
                    <w:div w:id="1080129525">
                      <w:marLeft w:val="0"/>
                      <w:marRight w:val="0"/>
                      <w:marTop w:val="0"/>
                      <w:marBottom w:val="0"/>
                      <w:divBdr>
                        <w:top w:val="none" w:sz="0" w:space="0" w:color="auto"/>
                        <w:left w:val="none" w:sz="0" w:space="0" w:color="auto"/>
                        <w:bottom w:val="none" w:sz="0" w:space="0" w:color="auto"/>
                        <w:right w:val="none" w:sz="0" w:space="0" w:color="auto"/>
                      </w:divBdr>
                    </w:div>
                    <w:div w:id="815026410">
                      <w:marLeft w:val="0"/>
                      <w:marRight w:val="0"/>
                      <w:marTop w:val="0"/>
                      <w:marBottom w:val="0"/>
                      <w:divBdr>
                        <w:top w:val="none" w:sz="0" w:space="0" w:color="auto"/>
                        <w:left w:val="none" w:sz="0" w:space="0" w:color="auto"/>
                        <w:bottom w:val="none" w:sz="0" w:space="0" w:color="auto"/>
                        <w:right w:val="none" w:sz="0" w:space="0" w:color="auto"/>
                      </w:divBdr>
                    </w:div>
                    <w:div w:id="977295513">
                      <w:marLeft w:val="0"/>
                      <w:marRight w:val="0"/>
                      <w:marTop w:val="0"/>
                      <w:marBottom w:val="0"/>
                      <w:divBdr>
                        <w:top w:val="none" w:sz="0" w:space="0" w:color="auto"/>
                        <w:left w:val="none" w:sz="0" w:space="0" w:color="auto"/>
                        <w:bottom w:val="none" w:sz="0" w:space="0" w:color="auto"/>
                        <w:right w:val="none" w:sz="0" w:space="0" w:color="auto"/>
                      </w:divBdr>
                    </w:div>
                    <w:div w:id="2132629054">
                      <w:marLeft w:val="0"/>
                      <w:marRight w:val="0"/>
                      <w:marTop w:val="0"/>
                      <w:marBottom w:val="0"/>
                      <w:divBdr>
                        <w:top w:val="none" w:sz="0" w:space="0" w:color="auto"/>
                        <w:left w:val="none" w:sz="0" w:space="0" w:color="auto"/>
                        <w:bottom w:val="none" w:sz="0" w:space="0" w:color="auto"/>
                        <w:right w:val="none" w:sz="0" w:space="0" w:color="auto"/>
                      </w:divBdr>
                    </w:div>
                    <w:div w:id="620036635">
                      <w:marLeft w:val="0"/>
                      <w:marRight w:val="0"/>
                      <w:marTop w:val="0"/>
                      <w:marBottom w:val="0"/>
                      <w:divBdr>
                        <w:top w:val="none" w:sz="0" w:space="0" w:color="auto"/>
                        <w:left w:val="none" w:sz="0" w:space="0" w:color="auto"/>
                        <w:bottom w:val="none" w:sz="0" w:space="0" w:color="auto"/>
                        <w:right w:val="none" w:sz="0" w:space="0" w:color="auto"/>
                      </w:divBdr>
                    </w:div>
                    <w:div w:id="1527451254">
                      <w:marLeft w:val="0"/>
                      <w:marRight w:val="0"/>
                      <w:marTop w:val="0"/>
                      <w:marBottom w:val="0"/>
                      <w:divBdr>
                        <w:top w:val="none" w:sz="0" w:space="0" w:color="auto"/>
                        <w:left w:val="none" w:sz="0" w:space="0" w:color="auto"/>
                        <w:bottom w:val="none" w:sz="0" w:space="0" w:color="auto"/>
                        <w:right w:val="none" w:sz="0" w:space="0" w:color="auto"/>
                      </w:divBdr>
                    </w:div>
                    <w:div w:id="1648975820">
                      <w:marLeft w:val="0"/>
                      <w:marRight w:val="0"/>
                      <w:marTop w:val="0"/>
                      <w:marBottom w:val="0"/>
                      <w:divBdr>
                        <w:top w:val="none" w:sz="0" w:space="0" w:color="auto"/>
                        <w:left w:val="none" w:sz="0" w:space="0" w:color="auto"/>
                        <w:bottom w:val="none" w:sz="0" w:space="0" w:color="auto"/>
                        <w:right w:val="none" w:sz="0" w:space="0" w:color="auto"/>
                      </w:divBdr>
                    </w:div>
                    <w:div w:id="1235899511">
                      <w:marLeft w:val="0"/>
                      <w:marRight w:val="0"/>
                      <w:marTop w:val="0"/>
                      <w:marBottom w:val="0"/>
                      <w:divBdr>
                        <w:top w:val="none" w:sz="0" w:space="0" w:color="auto"/>
                        <w:left w:val="none" w:sz="0" w:space="0" w:color="auto"/>
                        <w:bottom w:val="none" w:sz="0" w:space="0" w:color="auto"/>
                        <w:right w:val="none" w:sz="0" w:space="0" w:color="auto"/>
                      </w:divBdr>
                    </w:div>
                    <w:div w:id="12810871">
                      <w:marLeft w:val="0"/>
                      <w:marRight w:val="0"/>
                      <w:marTop w:val="0"/>
                      <w:marBottom w:val="0"/>
                      <w:divBdr>
                        <w:top w:val="none" w:sz="0" w:space="0" w:color="auto"/>
                        <w:left w:val="none" w:sz="0" w:space="0" w:color="auto"/>
                        <w:bottom w:val="none" w:sz="0" w:space="0" w:color="auto"/>
                        <w:right w:val="none" w:sz="0" w:space="0" w:color="auto"/>
                      </w:divBdr>
                    </w:div>
                    <w:div w:id="1399860422">
                      <w:marLeft w:val="0"/>
                      <w:marRight w:val="0"/>
                      <w:marTop w:val="0"/>
                      <w:marBottom w:val="0"/>
                      <w:divBdr>
                        <w:top w:val="none" w:sz="0" w:space="0" w:color="auto"/>
                        <w:left w:val="none" w:sz="0" w:space="0" w:color="auto"/>
                        <w:bottom w:val="none" w:sz="0" w:space="0" w:color="auto"/>
                        <w:right w:val="none" w:sz="0" w:space="0" w:color="auto"/>
                      </w:divBdr>
                    </w:div>
                    <w:div w:id="757095527">
                      <w:marLeft w:val="0"/>
                      <w:marRight w:val="0"/>
                      <w:marTop w:val="0"/>
                      <w:marBottom w:val="0"/>
                      <w:divBdr>
                        <w:top w:val="none" w:sz="0" w:space="0" w:color="auto"/>
                        <w:left w:val="none" w:sz="0" w:space="0" w:color="auto"/>
                        <w:bottom w:val="none" w:sz="0" w:space="0" w:color="auto"/>
                        <w:right w:val="none" w:sz="0" w:space="0" w:color="auto"/>
                      </w:divBdr>
                    </w:div>
                    <w:div w:id="251403393">
                      <w:marLeft w:val="0"/>
                      <w:marRight w:val="0"/>
                      <w:marTop w:val="0"/>
                      <w:marBottom w:val="0"/>
                      <w:divBdr>
                        <w:top w:val="none" w:sz="0" w:space="0" w:color="auto"/>
                        <w:left w:val="none" w:sz="0" w:space="0" w:color="auto"/>
                        <w:bottom w:val="none" w:sz="0" w:space="0" w:color="auto"/>
                        <w:right w:val="none" w:sz="0" w:space="0" w:color="auto"/>
                      </w:divBdr>
                    </w:div>
                    <w:div w:id="208228757">
                      <w:marLeft w:val="0"/>
                      <w:marRight w:val="0"/>
                      <w:marTop w:val="0"/>
                      <w:marBottom w:val="0"/>
                      <w:divBdr>
                        <w:top w:val="none" w:sz="0" w:space="0" w:color="auto"/>
                        <w:left w:val="none" w:sz="0" w:space="0" w:color="auto"/>
                        <w:bottom w:val="none" w:sz="0" w:space="0" w:color="auto"/>
                        <w:right w:val="none" w:sz="0" w:space="0" w:color="auto"/>
                      </w:divBdr>
                    </w:div>
                    <w:div w:id="1930113270">
                      <w:marLeft w:val="0"/>
                      <w:marRight w:val="0"/>
                      <w:marTop w:val="0"/>
                      <w:marBottom w:val="0"/>
                      <w:divBdr>
                        <w:top w:val="none" w:sz="0" w:space="0" w:color="auto"/>
                        <w:left w:val="none" w:sz="0" w:space="0" w:color="auto"/>
                        <w:bottom w:val="none" w:sz="0" w:space="0" w:color="auto"/>
                        <w:right w:val="none" w:sz="0" w:space="0" w:color="auto"/>
                      </w:divBdr>
                    </w:div>
                    <w:div w:id="1846088202">
                      <w:marLeft w:val="0"/>
                      <w:marRight w:val="0"/>
                      <w:marTop w:val="0"/>
                      <w:marBottom w:val="0"/>
                      <w:divBdr>
                        <w:top w:val="none" w:sz="0" w:space="0" w:color="auto"/>
                        <w:left w:val="none" w:sz="0" w:space="0" w:color="auto"/>
                        <w:bottom w:val="none" w:sz="0" w:space="0" w:color="auto"/>
                        <w:right w:val="none" w:sz="0" w:space="0" w:color="auto"/>
                      </w:divBdr>
                    </w:div>
                    <w:div w:id="676343711">
                      <w:marLeft w:val="0"/>
                      <w:marRight w:val="0"/>
                      <w:marTop w:val="0"/>
                      <w:marBottom w:val="0"/>
                      <w:divBdr>
                        <w:top w:val="none" w:sz="0" w:space="0" w:color="auto"/>
                        <w:left w:val="none" w:sz="0" w:space="0" w:color="auto"/>
                        <w:bottom w:val="none" w:sz="0" w:space="0" w:color="auto"/>
                        <w:right w:val="none" w:sz="0" w:space="0" w:color="auto"/>
                      </w:divBdr>
                    </w:div>
                    <w:div w:id="1833906057">
                      <w:marLeft w:val="0"/>
                      <w:marRight w:val="0"/>
                      <w:marTop w:val="0"/>
                      <w:marBottom w:val="0"/>
                      <w:divBdr>
                        <w:top w:val="none" w:sz="0" w:space="0" w:color="auto"/>
                        <w:left w:val="none" w:sz="0" w:space="0" w:color="auto"/>
                        <w:bottom w:val="none" w:sz="0" w:space="0" w:color="auto"/>
                        <w:right w:val="none" w:sz="0" w:space="0" w:color="auto"/>
                      </w:divBdr>
                    </w:div>
                    <w:div w:id="553666330">
                      <w:marLeft w:val="0"/>
                      <w:marRight w:val="0"/>
                      <w:marTop w:val="0"/>
                      <w:marBottom w:val="0"/>
                      <w:divBdr>
                        <w:top w:val="none" w:sz="0" w:space="0" w:color="auto"/>
                        <w:left w:val="none" w:sz="0" w:space="0" w:color="auto"/>
                        <w:bottom w:val="none" w:sz="0" w:space="0" w:color="auto"/>
                        <w:right w:val="none" w:sz="0" w:space="0" w:color="auto"/>
                      </w:divBdr>
                    </w:div>
                    <w:div w:id="1621182605">
                      <w:marLeft w:val="0"/>
                      <w:marRight w:val="0"/>
                      <w:marTop w:val="0"/>
                      <w:marBottom w:val="0"/>
                      <w:divBdr>
                        <w:top w:val="none" w:sz="0" w:space="0" w:color="auto"/>
                        <w:left w:val="none" w:sz="0" w:space="0" w:color="auto"/>
                        <w:bottom w:val="none" w:sz="0" w:space="0" w:color="auto"/>
                        <w:right w:val="none" w:sz="0" w:space="0" w:color="auto"/>
                      </w:divBdr>
                    </w:div>
                    <w:div w:id="1812942794">
                      <w:marLeft w:val="0"/>
                      <w:marRight w:val="0"/>
                      <w:marTop w:val="0"/>
                      <w:marBottom w:val="0"/>
                      <w:divBdr>
                        <w:top w:val="none" w:sz="0" w:space="0" w:color="auto"/>
                        <w:left w:val="none" w:sz="0" w:space="0" w:color="auto"/>
                        <w:bottom w:val="none" w:sz="0" w:space="0" w:color="auto"/>
                        <w:right w:val="none" w:sz="0" w:space="0" w:color="auto"/>
                      </w:divBdr>
                    </w:div>
                    <w:div w:id="407578178">
                      <w:marLeft w:val="0"/>
                      <w:marRight w:val="0"/>
                      <w:marTop w:val="0"/>
                      <w:marBottom w:val="0"/>
                      <w:divBdr>
                        <w:top w:val="none" w:sz="0" w:space="0" w:color="auto"/>
                        <w:left w:val="none" w:sz="0" w:space="0" w:color="auto"/>
                        <w:bottom w:val="none" w:sz="0" w:space="0" w:color="auto"/>
                        <w:right w:val="none" w:sz="0" w:space="0" w:color="auto"/>
                      </w:divBdr>
                    </w:div>
                    <w:div w:id="552347973">
                      <w:marLeft w:val="0"/>
                      <w:marRight w:val="0"/>
                      <w:marTop w:val="0"/>
                      <w:marBottom w:val="0"/>
                      <w:divBdr>
                        <w:top w:val="none" w:sz="0" w:space="0" w:color="auto"/>
                        <w:left w:val="none" w:sz="0" w:space="0" w:color="auto"/>
                        <w:bottom w:val="none" w:sz="0" w:space="0" w:color="auto"/>
                        <w:right w:val="none" w:sz="0" w:space="0" w:color="auto"/>
                      </w:divBdr>
                      <w:divsChild>
                        <w:div w:id="1283655491">
                          <w:marLeft w:val="0"/>
                          <w:marRight w:val="0"/>
                          <w:marTop w:val="0"/>
                          <w:marBottom w:val="0"/>
                          <w:divBdr>
                            <w:top w:val="none" w:sz="0" w:space="0" w:color="auto"/>
                            <w:left w:val="none" w:sz="0" w:space="0" w:color="auto"/>
                            <w:bottom w:val="none" w:sz="0" w:space="0" w:color="auto"/>
                            <w:right w:val="none" w:sz="0" w:space="0" w:color="auto"/>
                          </w:divBdr>
                        </w:div>
                      </w:divsChild>
                    </w:div>
                    <w:div w:id="1341004170">
                      <w:marLeft w:val="0"/>
                      <w:marRight w:val="0"/>
                      <w:marTop w:val="0"/>
                      <w:marBottom w:val="0"/>
                      <w:divBdr>
                        <w:top w:val="none" w:sz="0" w:space="0" w:color="auto"/>
                        <w:left w:val="none" w:sz="0" w:space="0" w:color="auto"/>
                        <w:bottom w:val="none" w:sz="0" w:space="0" w:color="auto"/>
                        <w:right w:val="none" w:sz="0" w:space="0" w:color="auto"/>
                      </w:divBdr>
                    </w:div>
                    <w:div w:id="1392386916">
                      <w:marLeft w:val="0"/>
                      <w:marRight w:val="0"/>
                      <w:marTop w:val="0"/>
                      <w:marBottom w:val="0"/>
                      <w:divBdr>
                        <w:top w:val="none" w:sz="0" w:space="0" w:color="auto"/>
                        <w:left w:val="none" w:sz="0" w:space="0" w:color="auto"/>
                        <w:bottom w:val="none" w:sz="0" w:space="0" w:color="auto"/>
                        <w:right w:val="none" w:sz="0" w:space="0" w:color="auto"/>
                      </w:divBdr>
                    </w:div>
                    <w:div w:id="1325816923">
                      <w:marLeft w:val="0"/>
                      <w:marRight w:val="0"/>
                      <w:marTop w:val="0"/>
                      <w:marBottom w:val="0"/>
                      <w:divBdr>
                        <w:top w:val="none" w:sz="0" w:space="0" w:color="auto"/>
                        <w:left w:val="none" w:sz="0" w:space="0" w:color="auto"/>
                        <w:bottom w:val="none" w:sz="0" w:space="0" w:color="auto"/>
                        <w:right w:val="none" w:sz="0" w:space="0" w:color="auto"/>
                      </w:divBdr>
                    </w:div>
                    <w:div w:id="879166853">
                      <w:marLeft w:val="0"/>
                      <w:marRight w:val="0"/>
                      <w:marTop w:val="0"/>
                      <w:marBottom w:val="0"/>
                      <w:divBdr>
                        <w:top w:val="none" w:sz="0" w:space="0" w:color="auto"/>
                        <w:left w:val="none" w:sz="0" w:space="0" w:color="auto"/>
                        <w:bottom w:val="none" w:sz="0" w:space="0" w:color="auto"/>
                        <w:right w:val="none" w:sz="0" w:space="0" w:color="auto"/>
                      </w:divBdr>
                    </w:div>
                    <w:div w:id="1244604776">
                      <w:marLeft w:val="0"/>
                      <w:marRight w:val="0"/>
                      <w:marTop w:val="0"/>
                      <w:marBottom w:val="0"/>
                      <w:divBdr>
                        <w:top w:val="none" w:sz="0" w:space="0" w:color="auto"/>
                        <w:left w:val="none" w:sz="0" w:space="0" w:color="auto"/>
                        <w:bottom w:val="none" w:sz="0" w:space="0" w:color="auto"/>
                        <w:right w:val="none" w:sz="0" w:space="0" w:color="auto"/>
                      </w:divBdr>
                    </w:div>
                    <w:div w:id="150171822">
                      <w:marLeft w:val="0"/>
                      <w:marRight w:val="0"/>
                      <w:marTop w:val="0"/>
                      <w:marBottom w:val="0"/>
                      <w:divBdr>
                        <w:top w:val="none" w:sz="0" w:space="0" w:color="auto"/>
                        <w:left w:val="none" w:sz="0" w:space="0" w:color="auto"/>
                        <w:bottom w:val="none" w:sz="0" w:space="0" w:color="auto"/>
                        <w:right w:val="none" w:sz="0" w:space="0" w:color="auto"/>
                      </w:divBdr>
                    </w:div>
                    <w:div w:id="1771004121">
                      <w:marLeft w:val="0"/>
                      <w:marRight w:val="0"/>
                      <w:marTop w:val="0"/>
                      <w:marBottom w:val="0"/>
                      <w:divBdr>
                        <w:top w:val="none" w:sz="0" w:space="0" w:color="auto"/>
                        <w:left w:val="none" w:sz="0" w:space="0" w:color="auto"/>
                        <w:bottom w:val="none" w:sz="0" w:space="0" w:color="auto"/>
                        <w:right w:val="none" w:sz="0" w:space="0" w:color="auto"/>
                      </w:divBdr>
                    </w:div>
                    <w:div w:id="2143569652">
                      <w:marLeft w:val="0"/>
                      <w:marRight w:val="0"/>
                      <w:marTop w:val="0"/>
                      <w:marBottom w:val="0"/>
                      <w:divBdr>
                        <w:top w:val="none" w:sz="0" w:space="0" w:color="auto"/>
                        <w:left w:val="none" w:sz="0" w:space="0" w:color="auto"/>
                        <w:bottom w:val="none" w:sz="0" w:space="0" w:color="auto"/>
                        <w:right w:val="none" w:sz="0" w:space="0" w:color="auto"/>
                      </w:divBdr>
                    </w:div>
                    <w:div w:id="361320277">
                      <w:marLeft w:val="0"/>
                      <w:marRight w:val="0"/>
                      <w:marTop w:val="0"/>
                      <w:marBottom w:val="0"/>
                      <w:divBdr>
                        <w:top w:val="none" w:sz="0" w:space="0" w:color="auto"/>
                        <w:left w:val="none" w:sz="0" w:space="0" w:color="auto"/>
                        <w:bottom w:val="none" w:sz="0" w:space="0" w:color="auto"/>
                        <w:right w:val="none" w:sz="0" w:space="0" w:color="auto"/>
                      </w:divBdr>
                    </w:div>
                    <w:div w:id="539825941">
                      <w:marLeft w:val="0"/>
                      <w:marRight w:val="0"/>
                      <w:marTop w:val="0"/>
                      <w:marBottom w:val="0"/>
                      <w:divBdr>
                        <w:top w:val="none" w:sz="0" w:space="0" w:color="auto"/>
                        <w:left w:val="none" w:sz="0" w:space="0" w:color="auto"/>
                        <w:bottom w:val="none" w:sz="0" w:space="0" w:color="auto"/>
                        <w:right w:val="none" w:sz="0" w:space="0" w:color="auto"/>
                      </w:divBdr>
                    </w:div>
                    <w:div w:id="38939131">
                      <w:marLeft w:val="0"/>
                      <w:marRight w:val="0"/>
                      <w:marTop w:val="0"/>
                      <w:marBottom w:val="0"/>
                      <w:divBdr>
                        <w:top w:val="none" w:sz="0" w:space="0" w:color="auto"/>
                        <w:left w:val="none" w:sz="0" w:space="0" w:color="auto"/>
                        <w:bottom w:val="none" w:sz="0" w:space="0" w:color="auto"/>
                        <w:right w:val="none" w:sz="0" w:space="0" w:color="auto"/>
                      </w:divBdr>
                    </w:div>
                    <w:div w:id="344554873">
                      <w:marLeft w:val="0"/>
                      <w:marRight w:val="0"/>
                      <w:marTop w:val="0"/>
                      <w:marBottom w:val="0"/>
                      <w:divBdr>
                        <w:top w:val="none" w:sz="0" w:space="0" w:color="auto"/>
                        <w:left w:val="none" w:sz="0" w:space="0" w:color="auto"/>
                        <w:bottom w:val="none" w:sz="0" w:space="0" w:color="auto"/>
                        <w:right w:val="none" w:sz="0" w:space="0" w:color="auto"/>
                      </w:divBdr>
                    </w:div>
                    <w:div w:id="1104301975">
                      <w:marLeft w:val="0"/>
                      <w:marRight w:val="0"/>
                      <w:marTop w:val="0"/>
                      <w:marBottom w:val="0"/>
                      <w:divBdr>
                        <w:top w:val="none" w:sz="0" w:space="0" w:color="auto"/>
                        <w:left w:val="none" w:sz="0" w:space="0" w:color="auto"/>
                        <w:bottom w:val="none" w:sz="0" w:space="0" w:color="auto"/>
                        <w:right w:val="none" w:sz="0" w:space="0" w:color="auto"/>
                      </w:divBdr>
                    </w:div>
                    <w:div w:id="2018844408">
                      <w:marLeft w:val="0"/>
                      <w:marRight w:val="0"/>
                      <w:marTop w:val="0"/>
                      <w:marBottom w:val="0"/>
                      <w:divBdr>
                        <w:top w:val="none" w:sz="0" w:space="0" w:color="auto"/>
                        <w:left w:val="none" w:sz="0" w:space="0" w:color="auto"/>
                        <w:bottom w:val="none" w:sz="0" w:space="0" w:color="auto"/>
                        <w:right w:val="none" w:sz="0" w:space="0" w:color="auto"/>
                      </w:divBdr>
                    </w:div>
                    <w:div w:id="2700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Guillermin,Marie-Caroline (HR) MER-FR-L</dc:creator>
  <cp:lastModifiedBy>Guillermin,Marie-Caroline (HR) MER-FR-L</cp:lastModifiedBy>
  <cp:revision>1</cp:revision>
  <dcterms:created xsi:type="dcterms:W3CDTF">2018-04-20T15:13:00Z</dcterms:created>
  <dcterms:modified xsi:type="dcterms:W3CDTF">2018-04-20T15:16:00Z</dcterms:modified>
</cp:coreProperties>
</file>