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C67E" w14:textId="77777777" w:rsidR="00586B4A" w:rsidRDefault="00C81D36" w:rsidP="005E418F">
      <w:pPr>
        <w:tabs>
          <w:tab w:val="center" w:pos="5259"/>
        </w:tabs>
        <w:spacing w:after="158" w:line="259" w:lineRule="auto"/>
        <w:ind w:left="45" w:firstLine="0"/>
        <w:jc w:val="left"/>
      </w:pPr>
      <w:r>
        <w:rPr>
          <w:noProof/>
        </w:rPr>
        <w:drawing>
          <wp:inline distT="0" distB="0" distL="0" distR="0" wp14:anchorId="1B7318B1" wp14:editId="2986F0E1">
            <wp:extent cx="1719072" cy="78432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60" cy="7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 w:rsidR="00AD2C6F">
        <w:rPr>
          <w:noProof/>
        </w:rPr>
        <w:drawing>
          <wp:inline distT="0" distB="0" distL="0" distR="0" wp14:anchorId="38D3B284" wp14:editId="2C74566F">
            <wp:extent cx="2253640" cy="50474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5425" cy="51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C6F">
        <w:rPr>
          <w:sz w:val="22"/>
        </w:rPr>
        <w:t xml:space="preserve"> </w:t>
      </w:r>
      <w:r w:rsidR="005E418F">
        <w:rPr>
          <w:sz w:val="22"/>
        </w:rPr>
        <w:tab/>
      </w:r>
      <w:r w:rsidR="005E418F">
        <w:rPr>
          <w:sz w:val="22"/>
        </w:rPr>
        <w:tab/>
      </w:r>
      <w:r>
        <w:rPr>
          <w:noProof/>
        </w:rPr>
        <w:drawing>
          <wp:inline distT="0" distB="0" distL="0" distR="0" wp14:anchorId="0624AA0F" wp14:editId="479CAABC">
            <wp:extent cx="1170303" cy="670556"/>
            <wp:effectExtent l="0" t="0" r="0" b="0"/>
            <wp:docPr id="3" name="Image 3" descr="X:\Marie-Claire\LOGOS\Partenaires\logo_DIM1health_IDF_degrade_cmjn_Petit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3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28C496" w14:textId="77777777" w:rsidR="00586B4A" w:rsidRDefault="00AD2C6F">
      <w:pPr>
        <w:spacing w:after="0" w:line="259" w:lineRule="auto"/>
        <w:ind w:left="44" w:firstLine="0"/>
        <w:jc w:val="center"/>
      </w:pPr>
      <w:r>
        <w:rPr>
          <w:sz w:val="22"/>
        </w:rPr>
        <w:t xml:space="preserve"> </w:t>
      </w:r>
    </w:p>
    <w:p w14:paraId="500A8F26" w14:textId="77777777" w:rsidR="00586B4A" w:rsidRDefault="00AD2C6F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14:paraId="40228AEF" w14:textId="3B9636B3" w:rsidR="00586B4A" w:rsidRPr="007F6C87" w:rsidRDefault="00AD2C6F">
      <w:pPr>
        <w:spacing w:after="0" w:line="259" w:lineRule="auto"/>
        <w:ind w:right="9"/>
        <w:jc w:val="center"/>
        <w:rPr>
          <w:b/>
          <w:color w:val="00B050"/>
        </w:rPr>
      </w:pPr>
      <w:r>
        <w:rPr>
          <w:b/>
        </w:rPr>
        <w:t xml:space="preserve">PRIX DE RECHERCHE Ecoantibio SIMV  </w:t>
      </w:r>
      <w:r w:rsidR="00CB03EC">
        <w:rPr>
          <w:b/>
        </w:rPr>
        <w:t>2019</w:t>
      </w:r>
      <w:r w:rsidR="007F6C87">
        <w:rPr>
          <w:b/>
        </w:rPr>
        <w:t xml:space="preserve"> </w:t>
      </w:r>
      <w:r w:rsidR="007F6C87">
        <w:rPr>
          <w:b/>
          <w:color w:val="00B050"/>
        </w:rPr>
        <w:t>(</w:t>
      </w:r>
      <w:r w:rsidR="007F6C87">
        <w:rPr>
          <w:b/>
        </w:rPr>
        <w:t xml:space="preserve"> </w:t>
      </w:r>
      <w:r w:rsidR="007F6C87">
        <w:rPr>
          <w:b/>
          <w:color w:val="00B050"/>
        </w:rPr>
        <w:t>mise à jour 10/19)</w:t>
      </w:r>
    </w:p>
    <w:p w14:paraId="0838BC68" w14:textId="77777777" w:rsidR="00877F97" w:rsidRDefault="00877F97">
      <w:pPr>
        <w:spacing w:after="0" w:line="259" w:lineRule="auto"/>
        <w:ind w:right="9"/>
        <w:jc w:val="center"/>
        <w:rPr>
          <w:b/>
        </w:rPr>
      </w:pPr>
    </w:p>
    <w:p w14:paraId="03A0A37F" w14:textId="77777777" w:rsidR="00877F97" w:rsidRPr="00BE40F1" w:rsidRDefault="00877F97">
      <w:pPr>
        <w:spacing w:after="0" w:line="259" w:lineRule="auto"/>
        <w:ind w:right="9"/>
        <w:jc w:val="center"/>
        <w:rPr>
          <w:b/>
        </w:rPr>
      </w:pPr>
      <w:r w:rsidRPr="00BE40F1">
        <w:rPr>
          <w:b/>
        </w:rPr>
        <w:t>REGLEMENT</w:t>
      </w:r>
    </w:p>
    <w:p w14:paraId="44ACFE14" w14:textId="77777777" w:rsidR="00586B4A" w:rsidRDefault="00AD2C6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00B050"/>
        </w:rPr>
        <w:t xml:space="preserve"> </w:t>
      </w:r>
    </w:p>
    <w:p w14:paraId="3B9C0EEC" w14:textId="77777777" w:rsidR="00586B4A" w:rsidRDefault="00AD2C6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CF53C6A" w14:textId="77777777" w:rsidR="00586B4A" w:rsidRDefault="00586B4A">
      <w:pPr>
        <w:spacing w:after="0" w:line="259" w:lineRule="auto"/>
        <w:ind w:left="0" w:firstLine="0"/>
        <w:jc w:val="left"/>
      </w:pPr>
    </w:p>
    <w:p w14:paraId="171B8FB1" w14:textId="77777777" w:rsidR="00586B4A" w:rsidRDefault="002C2553" w:rsidP="005B0F0C">
      <w:pPr>
        <w:spacing w:after="0" w:line="240" w:lineRule="auto"/>
        <w:ind w:left="0" w:firstLine="0"/>
      </w:pPr>
      <w:r>
        <w:rPr>
          <w:b/>
        </w:rPr>
        <w:t>Depuis 2018 et pour toute la durée du plan Ecoantibio2</w:t>
      </w:r>
      <w:r w:rsidR="00BE40F1">
        <w:rPr>
          <w:b/>
        </w:rPr>
        <w:t>,</w:t>
      </w:r>
      <w:r>
        <w:rPr>
          <w:b/>
        </w:rPr>
        <w:t xml:space="preserve"> l</w:t>
      </w:r>
      <w:r w:rsidR="00AD2C6F">
        <w:rPr>
          <w:b/>
        </w:rPr>
        <w:t>e SIMV propose un prix spécial de recherche</w:t>
      </w:r>
      <w:r w:rsidR="00BE40F1">
        <w:rPr>
          <w:b/>
        </w:rPr>
        <w:t xml:space="preserve"> dans le cadre de son </w:t>
      </w:r>
      <w:r w:rsidR="00BE40F1" w:rsidRPr="00BE40F1">
        <w:rPr>
          <w:b/>
        </w:rPr>
        <w:t>pilot</w:t>
      </w:r>
      <w:r w:rsidR="00BE40F1">
        <w:rPr>
          <w:b/>
        </w:rPr>
        <w:t>ag</w:t>
      </w:r>
      <w:r w:rsidR="00BE40F1" w:rsidRPr="00BE40F1">
        <w:rPr>
          <w:b/>
        </w:rPr>
        <w:t>e de l’action 3 du plan Ecoantibio « Encourager l’usage des vaccins pour prévenir l’apparition des maladies infectieuses »</w:t>
      </w:r>
    </w:p>
    <w:p w14:paraId="17644368" w14:textId="77777777" w:rsidR="00586B4A" w:rsidRDefault="00AD2C6F" w:rsidP="00BE40F1">
      <w:pPr>
        <w:spacing w:after="9" w:line="259" w:lineRule="auto"/>
        <w:ind w:left="0" w:firstLine="0"/>
        <w:jc w:val="left"/>
      </w:pPr>
      <w:r>
        <w:t xml:space="preserve"> </w:t>
      </w:r>
    </w:p>
    <w:p w14:paraId="7C7AB8E8" w14:textId="77777777" w:rsidR="00586B4A" w:rsidRDefault="00AD2C6F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148B1B" w14:textId="77777777" w:rsidR="00586B4A" w:rsidRDefault="00AD2C6F">
      <w:pPr>
        <w:ind w:left="-5"/>
      </w:pPr>
      <w:r>
        <w:rPr>
          <w:b/>
        </w:rPr>
        <w:t>Article 1</w:t>
      </w:r>
      <w:r>
        <w:t xml:space="preserve"> - Ce Prix est destiné à distinguer le travail de recherche publié par un étudiant ou un chercheur </w:t>
      </w:r>
      <w:r w:rsidR="00BE40F1">
        <w:t>répondant aux</w:t>
      </w:r>
      <w:r>
        <w:t xml:space="preserve"> critère</w:t>
      </w:r>
      <w:r w:rsidR="00BE40F1">
        <w:t>s</w:t>
      </w:r>
      <w:r>
        <w:t xml:space="preserve"> suivant</w:t>
      </w:r>
      <w:r w:rsidR="00BE40F1">
        <w:t>s</w:t>
      </w:r>
      <w:r>
        <w:t xml:space="preserve"> 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2930CC" w14:textId="77777777" w:rsidR="00BE40F1" w:rsidRDefault="00AD2C6F" w:rsidP="00CC2451">
      <w:pPr>
        <w:numPr>
          <w:ilvl w:val="0"/>
          <w:numId w:val="1"/>
        </w:numPr>
        <w:spacing w:after="16" w:line="240" w:lineRule="auto"/>
        <w:ind w:hanging="348"/>
        <w:rPr>
          <w:i/>
        </w:rPr>
      </w:pPr>
      <w:r>
        <w:rPr>
          <w:i/>
        </w:rPr>
        <w:t>Travaux mettant en valeur l’impact positif de la vaccination</w:t>
      </w:r>
    </w:p>
    <w:p w14:paraId="7D41DF77" w14:textId="77777777" w:rsidR="00CC2451" w:rsidRPr="00BE40F1" w:rsidRDefault="00BE40F1" w:rsidP="00BE40F1">
      <w:pPr>
        <w:numPr>
          <w:ilvl w:val="0"/>
          <w:numId w:val="1"/>
        </w:numPr>
        <w:spacing w:after="16" w:line="240" w:lineRule="auto"/>
        <w:ind w:hanging="348"/>
        <w:rPr>
          <w:i/>
        </w:rPr>
      </w:pPr>
      <w:r w:rsidRPr="00BE40F1">
        <w:rPr>
          <w:i/>
        </w:rPr>
        <w:t xml:space="preserve">Travaux mettant en valeur l’impact positif </w:t>
      </w:r>
      <w:r w:rsidR="00CC2451" w:rsidRPr="00BE40F1">
        <w:rPr>
          <w:i/>
        </w:rPr>
        <w:t>d</w:t>
      </w:r>
      <w:r w:rsidRPr="00BE40F1">
        <w:rPr>
          <w:i/>
        </w:rPr>
        <w:t>’</w:t>
      </w:r>
      <w:r w:rsidR="00CC2451" w:rsidRPr="00BE40F1">
        <w:rPr>
          <w:i/>
        </w:rPr>
        <w:t>autres solutions thérapeutiques innovantes</w:t>
      </w:r>
      <w:r w:rsidRPr="00BE40F1">
        <w:rPr>
          <w:i/>
        </w:rPr>
        <w:t xml:space="preserve"> (algues, peptides, probiotiques, phages...) </w:t>
      </w:r>
      <w:r w:rsidR="00AD2C6F" w:rsidRPr="00BE40F1">
        <w:rPr>
          <w:i/>
        </w:rPr>
        <w:t>en matière de réduction du</w:t>
      </w:r>
      <w:r w:rsidR="00CC2451" w:rsidRPr="00BE40F1">
        <w:rPr>
          <w:i/>
        </w:rPr>
        <w:t xml:space="preserve"> risque d’émergence d’antibiorésistance et de réduction du </w:t>
      </w:r>
      <w:r w:rsidR="00AD2C6F" w:rsidRPr="00BE40F1">
        <w:rPr>
          <w:i/>
        </w:rPr>
        <w:t>besoin de recourir à la prescription d’antibiotiques.</w:t>
      </w:r>
    </w:p>
    <w:p w14:paraId="6326E4DE" w14:textId="77777777" w:rsidR="00CC2451" w:rsidRPr="00BE40F1" w:rsidRDefault="00CC2451" w:rsidP="00BE40F1">
      <w:pPr>
        <w:spacing w:after="16" w:line="240" w:lineRule="auto"/>
        <w:ind w:left="708" w:firstLine="0"/>
        <w:rPr>
          <w:i/>
          <w:szCs w:val="24"/>
        </w:rPr>
      </w:pPr>
      <w:r w:rsidRPr="00BE40F1">
        <w:rPr>
          <w:i/>
          <w:szCs w:val="24"/>
        </w:rPr>
        <w:t>Seuls les projets avec une exploitation industrie pharmaceutique vétérinaire possible sont recevables.</w:t>
      </w:r>
    </w:p>
    <w:p w14:paraId="6627169A" w14:textId="77777777" w:rsidR="00CC2451" w:rsidRDefault="00CC2451" w:rsidP="00CC2451">
      <w:pPr>
        <w:spacing w:after="16" w:line="240" w:lineRule="auto"/>
        <w:ind w:left="708" w:firstLine="0"/>
        <w:rPr>
          <w:i/>
        </w:rPr>
      </w:pPr>
    </w:p>
    <w:p w14:paraId="049AF8C0" w14:textId="77777777" w:rsidR="00CC2451" w:rsidRDefault="00CC2451" w:rsidP="00CC2451">
      <w:pPr>
        <w:spacing w:after="16" w:line="240" w:lineRule="auto"/>
        <w:ind w:left="708" w:firstLine="0"/>
      </w:pPr>
    </w:p>
    <w:p w14:paraId="48459951" w14:textId="77777777" w:rsidR="00586B4A" w:rsidRDefault="00AD2C6F" w:rsidP="00CC2451">
      <w:pPr>
        <w:shd w:val="clear" w:color="auto" w:fill="FFFFFF"/>
        <w:spacing w:after="0" w:line="240" w:lineRule="auto"/>
      </w:pPr>
      <w:r>
        <w:rPr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117A1C7" w14:textId="535AC358" w:rsidR="00586B4A" w:rsidRDefault="00AD2C6F">
      <w:pPr>
        <w:ind w:left="-5"/>
      </w:pPr>
      <w:r>
        <w:rPr>
          <w:b/>
        </w:rPr>
        <w:t>Article 2</w:t>
      </w:r>
      <w:r>
        <w:t xml:space="preserve"> - Mode de sélection : il revient à chaque </w:t>
      </w:r>
      <w:r w:rsidR="007F6C87">
        <w:rPr>
          <w:color w:val="00B050"/>
        </w:rPr>
        <w:t>structure publique ou privée (centre</w:t>
      </w:r>
      <w:r>
        <w:t xml:space="preserve"> de recherche </w:t>
      </w:r>
      <w:r w:rsidR="00B055F9">
        <w:t xml:space="preserve">ou d’enseignement </w:t>
      </w:r>
      <w:r>
        <w:t>des réseaux agronomiques ou vétérinaires de présenter une publication répondant au</w:t>
      </w:r>
      <w:r w:rsidR="00B055F9">
        <w:t>x</w:t>
      </w:r>
      <w:r>
        <w:t xml:space="preserve"> critère</w:t>
      </w:r>
      <w:r w:rsidR="00B055F9">
        <w:t>s</w:t>
      </w:r>
      <w:r>
        <w:t xml:space="preserve"> présenté</w:t>
      </w:r>
      <w:r w:rsidR="00B055F9">
        <w:t>s</w:t>
      </w:r>
      <w:r>
        <w:t xml:space="preserve"> à l’article 1. Un seul prix par an sera remis (à l’auteur de la publication). Chaque</w:t>
      </w:r>
      <w:r w:rsidRPr="007F6C87">
        <w:rPr>
          <w:color w:val="00B050"/>
        </w:rPr>
        <w:t xml:space="preserve"> </w:t>
      </w:r>
      <w:r w:rsidR="007F6C87" w:rsidRPr="007F6C87">
        <w:rPr>
          <w:color w:val="00B050"/>
        </w:rPr>
        <w:t xml:space="preserve">structure </w:t>
      </w:r>
      <w:r>
        <w:t>devra sélectionner une publication de l’année précédant la remise du prix. Cela correspondant pour l’année 201</w:t>
      </w:r>
      <w:r w:rsidR="00B7422D">
        <w:t>9</w:t>
      </w:r>
      <w:r>
        <w:t xml:space="preserve"> aux publications faites de janvier 201</w:t>
      </w:r>
      <w:r w:rsidR="00B7422D">
        <w:t>8</w:t>
      </w:r>
      <w:r>
        <w:t xml:space="preserve"> et décembre 201</w:t>
      </w:r>
      <w:r w:rsidR="00B7422D">
        <w:t>8</w:t>
      </w:r>
      <w:r>
        <w:t xml:space="preserve">. Une promotion auprès des étudiants en dernière année d’école pourra être envisagée. </w:t>
      </w:r>
    </w:p>
    <w:p w14:paraId="72A6119A" w14:textId="77777777" w:rsidR="00586B4A" w:rsidRDefault="00AD2C6F">
      <w:pPr>
        <w:spacing w:after="0" w:line="259" w:lineRule="auto"/>
        <w:ind w:left="0" w:firstLine="0"/>
        <w:jc w:val="left"/>
      </w:pPr>
      <w:r>
        <w:t xml:space="preserve"> </w:t>
      </w:r>
    </w:p>
    <w:p w14:paraId="67FE37A1" w14:textId="77777777" w:rsidR="00586B4A" w:rsidRDefault="00AD2C6F">
      <w:pPr>
        <w:spacing w:after="11"/>
        <w:ind w:left="-5"/>
        <w:jc w:val="left"/>
      </w:pPr>
      <w:r>
        <w:t xml:space="preserve">Toutes les publications sont admissibles à la condition qu’elles aient été validées par un comité de lecture.  </w:t>
      </w:r>
    </w:p>
    <w:p w14:paraId="1EA910E7" w14:textId="77777777" w:rsidR="00586B4A" w:rsidRDefault="00AD2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6FA3998" w14:textId="77777777" w:rsidR="00586B4A" w:rsidRDefault="00AD2C6F">
      <w:pPr>
        <w:ind w:left="-5"/>
      </w:pPr>
      <w:r>
        <w:rPr>
          <w:b/>
        </w:rPr>
        <w:t>Article 3</w:t>
      </w:r>
      <w:r>
        <w:t xml:space="preserve"> - Le Prix sera attribué pendant la durée du plan Ecoantibio 2 (soit de 2017 à 2021) par un Jury constitué de membres du Réseau Français de Santé Animale.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806797" w14:textId="77777777" w:rsidR="00586B4A" w:rsidRDefault="00AD2C6F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12F0DC" w14:textId="77777777" w:rsidR="00586B4A" w:rsidRDefault="00AD2C6F">
      <w:pPr>
        <w:ind w:left="-5"/>
      </w:pPr>
      <w:r>
        <w:rPr>
          <w:b/>
        </w:rPr>
        <w:t>Article 4</w:t>
      </w:r>
      <w:r>
        <w:t xml:space="preserve"> </w:t>
      </w:r>
      <w:r w:rsidR="00B055F9">
        <w:t>- Dans</w:t>
      </w:r>
      <w:r>
        <w:t xml:space="preserve"> le Jury, 2 collèges seront représentés :  </w:t>
      </w:r>
    </w:p>
    <w:p w14:paraId="5EAEFC11" w14:textId="77777777" w:rsidR="00586B4A" w:rsidRDefault="00AD2C6F">
      <w:pPr>
        <w:numPr>
          <w:ilvl w:val="0"/>
          <w:numId w:val="1"/>
        </w:numPr>
        <w:spacing w:after="27"/>
        <w:ind w:hanging="348"/>
      </w:pPr>
      <w:r>
        <w:t xml:space="preserve">Dans le collège 1 : Par 3 représentants de la recherche industrielle de la santé animale désignés par le SIMV </w:t>
      </w:r>
    </w:p>
    <w:p w14:paraId="7A08F156" w14:textId="77777777" w:rsidR="00586B4A" w:rsidRDefault="00AD2C6F">
      <w:pPr>
        <w:numPr>
          <w:ilvl w:val="0"/>
          <w:numId w:val="1"/>
        </w:numPr>
        <w:ind w:hanging="348"/>
      </w:pPr>
      <w:r>
        <w:t xml:space="preserve">Dans le collège 2 : Par 3 représentants non industriels de la recherche en santé animale désignés par le COPIL du RFSA </w:t>
      </w:r>
    </w:p>
    <w:p w14:paraId="441F764A" w14:textId="77777777" w:rsidR="00586B4A" w:rsidRDefault="00AD2C6F">
      <w:pPr>
        <w:spacing w:after="0" w:line="259" w:lineRule="auto"/>
        <w:ind w:left="720" w:firstLine="0"/>
        <w:jc w:val="left"/>
      </w:pPr>
      <w:r>
        <w:t xml:space="preserve"> </w:t>
      </w:r>
    </w:p>
    <w:p w14:paraId="766922DF" w14:textId="77777777" w:rsidR="007F6C87" w:rsidRDefault="00AD2C6F">
      <w:pPr>
        <w:ind w:left="-5"/>
      </w:pPr>
      <w:r>
        <w:t xml:space="preserve">Tous les représentants doivent faire partie d’une structure </w:t>
      </w:r>
      <w:r w:rsidR="00877F97">
        <w:t xml:space="preserve">membre du COPIL du </w:t>
      </w:r>
      <w:r>
        <w:t xml:space="preserve">RFSA. </w:t>
      </w:r>
    </w:p>
    <w:p w14:paraId="35A46AE1" w14:textId="63F6D24E" w:rsidR="00F2407A" w:rsidRPr="00F2407A" w:rsidRDefault="00F2407A" w:rsidP="00F2407A">
      <w:pPr>
        <w:ind w:left="-5"/>
        <w:rPr>
          <w:color w:val="00B050"/>
        </w:rPr>
      </w:pPr>
      <w:r w:rsidRPr="00F2407A">
        <w:rPr>
          <w:color w:val="00B050"/>
        </w:rPr>
        <w:lastRenderedPageBreak/>
        <w:t xml:space="preserve">Les membres du jury sont invités à déclarer </w:t>
      </w:r>
      <w:r>
        <w:rPr>
          <w:color w:val="00B050"/>
        </w:rPr>
        <w:t>l</w:t>
      </w:r>
      <w:r w:rsidRPr="00F2407A">
        <w:rPr>
          <w:color w:val="00B050"/>
        </w:rPr>
        <w:t>es liens d’intérêts avec les dossiers déposés au plus tard lors de la réunion de délibération.</w:t>
      </w:r>
    </w:p>
    <w:p w14:paraId="0609CD14" w14:textId="4D78CCE5" w:rsidR="00586B4A" w:rsidRPr="00F2407A" w:rsidRDefault="00F2407A" w:rsidP="00F2407A">
      <w:pPr>
        <w:ind w:left="-5"/>
        <w:rPr>
          <w:color w:val="00B050"/>
        </w:rPr>
      </w:pPr>
      <w:r w:rsidRPr="00F2407A">
        <w:rPr>
          <w:color w:val="00B050"/>
        </w:rPr>
        <w:t xml:space="preserve">En cas de conflit d’intérêts, les personnes concernées </w:t>
      </w:r>
      <w:bookmarkStart w:id="0" w:name="_GoBack"/>
      <w:bookmarkEnd w:id="0"/>
      <w:r w:rsidRPr="00F2407A">
        <w:rPr>
          <w:color w:val="00B050"/>
        </w:rPr>
        <w:t>ne peuvent faire partie du Jury</w:t>
      </w:r>
      <w:r w:rsidR="00AD2C6F">
        <w:t xml:space="preserve"> </w:t>
      </w:r>
    </w:p>
    <w:p w14:paraId="410D23B9" w14:textId="77777777" w:rsidR="00586B4A" w:rsidRDefault="00AD2C6F">
      <w:pPr>
        <w:spacing w:after="0" w:line="259" w:lineRule="auto"/>
        <w:ind w:left="0" w:firstLine="0"/>
        <w:jc w:val="left"/>
      </w:pPr>
      <w:r>
        <w:t xml:space="preserve"> </w:t>
      </w:r>
    </w:p>
    <w:p w14:paraId="30205789" w14:textId="77777777" w:rsidR="00586B4A" w:rsidRDefault="00AD2C6F">
      <w:pPr>
        <w:ind w:left="-5"/>
      </w:pPr>
      <w:r>
        <w:t xml:space="preserve">Le Jury est présidé par un représentant des organismes de recherche. Le Président est proposé pour une année par le collège correspondant et fait partie des 3 personnes du jury. </w:t>
      </w:r>
    </w:p>
    <w:p w14:paraId="63CAE8C0" w14:textId="77777777" w:rsidR="00586B4A" w:rsidRDefault="00AD2C6F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50009D" w14:textId="77777777" w:rsidR="00586B4A" w:rsidRDefault="00AD2C6F">
      <w:pPr>
        <w:ind w:left="-5"/>
      </w:pPr>
      <w:r>
        <w:rPr>
          <w:b/>
        </w:rPr>
        <w:t>Article 5</w:t>
      </w:r>
      <w:r>
        <w:t xml:space="preserve"> - Modalités de dépôt des demandes en 201</w:t>
      </w:r>
      <w:r w:rsidR="00B7422D">
        <w:t>9</w:t>
      </w:r>
      <w:r>
        <w:t xml:space="preserve"> :  Les publications de 201</w:t>
      </w:r>
      <w:r w:rsidR="00B7422D">
        <w:t>8</w:t>
      </w:r>
      <w:r>
        <w:t xml:space="preserve"> devront être adressées au secrétariat du RFSA pour le 30 septembre 201</w:t>
      </w:r>
      <w:r w:rsidR="00B7422D">
        <w:t>9</w:t>
      </w:r>
      <w:r>
        <w:t xml:space="preserve">. Elles seront évaluées dans les 2 mois qui suivent et le </w:t>
      </w:r>
      <w:r w:rsidR="00B7422D">
        <w:t>nom du lauréat sera communiqué</w:t>
      </w:r>
      <w:r w:rsidR="00E42F9D">
        <w:t xml:space="preserve"> </w:t>
      </w:r>
      <w:r>
        <w:t>en fin d’année.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A347255" w14:textId="77777777" w:rsidR="00AD2C6F" w:rsidRPr="00B055F9" w:rsidRDefault="00AD2C6F" w:rsidP="00B055F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1304E9" w14:textId="77777777" w:rsidR="00586B4A" w:rsidRDefault="00AD2C6F" w:rsidP="00AD2C6F">
      <w:pPr>
        <w:ind w:left="-5"/>
        <w:rPr>
          <w:rFonts w:ascii="Times New Roman" w:eastAsia="Times New Roman" w:hAnsi="Times New Roman" w:cs="Times New Roman"/>
        </w:rPr>
      </w:pPr>
      <w:r>
        <w:rPr>
          <w:b/>
        </w:rPr>
        <w:t>Article 6</w:t>
      </w:r>
      <w:r>
        <w:t xml:space="preserve"> - Modalités de vote : chaque membre du jury attribuera un</w:t>
      </w:r>
      <w:r w:rsidR="00B055F9">
        <w:t xml:space="preserve"> score </w:t>
      </w:r>
      <w:r>
        <w:t xml:space="preserve">à chacune des publications. La publication retenue est celle qui remporte la note moyenne la plus élevée.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B05D45" w14:textId="77777777" w:rsidR="00AD2C6F" w:rsidRDefault="00AD2C6F" w:rsidP="00AD2C6F">
      <w:pPr>
        <w:ind w:left="-5"/>
      </w:pPr>
    </w:p>
    <w:p w14:paraId="2DF71F5F" w14:textId="77777777" w:rsidR="00586B4A" w:rsidRDefault="00AD2C6F">
      <w:pPr>
        <w:ind w:left="-5"/>
      </w:pPr>
      <w:r>
        <w:t xml:space="preserve">En cas d’égalité, un nouveau vote est organisé pour départager les finalistes. Le jury ne peut délibérer que si au moins un des représentants de chacun des collèges assiste à la réunion. Un membre du jury empêché peut donner pouvoir à un autre membre de son collège pour voter.  </w:t>
      </w:r>
    </w:p>
    <w:p w14:paraId="7C7B4A49" w14:textId="77777777" w:rsidR="00586B4A" w:rsidRDefault="00AD2C6F">
      <w:pPr>
        <w:spacing w:after="0" w:line="259" w:lineRule="auto"/>
        <w:ind w:left="0" w:firstLine="0"/>
        <w:jc w:val="left"/>
      </w:pPr>
      <w:r>
        <w:t xml:space="preserve"> </w:t>
      </w:r>
    </w:p>
    <w:p w14:paraId="20DDDD5D" w14:textId="77777777" w:rsidR="00586B4A" w:rsidRDefault="00AD2C6F">
      <w:pPr>
        <w:spacing w:after="11"/>
        <w:ind w:left="-5"/>
        <w:jc w:val="left"/>
      </w:pPr>
      <w:r>
        <w:rPr>
          <w:b/>
        </w:rPr>
        <w:t>Article 7</w:t>
      </w:r>
      <w:r>
        <w:t xml:space="preserve"> - Le prix sera remis lors d’une réunion du COPIL du RFSA ou lors d’une manifestation organisée </w:t>
      </w:r>
      <w:r w:rsidR="00B7422D">
        <w:t xml:space="preserve">en lien avec la </w:t>
      </w:r>
      <w:r w:rsidR="00B055F9">
        <w:t>thématique.</w:t>
      </w:r>
      <w:r>
        <w:t xml:space="preserve"> </w:t>
      </w:r>
    </w:p>
    <w:p w14:paraId="7A820296" w14:textId="77777777" w:rsidR="00586B4A" w:rsidRDefault="00AD2C6F">
      <w:pPr>
        <w:spacing w:after="17" w:line="259" w:lineRule="auto"/>
        <w:ind w:left="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AA3178" w14:textId="77777777" w:rsidR="00586B4A" w:rsidRDefault="00AD2C6F">
      <w:pPr>
        <w:ind w:left="-5"/>
      </w:pPr>
      <w:r>
        <w:rPr>
          <w:b/>
        </w:rPr>
        <w:t>Article 8</w:t>
      </w:r>
      <w:r>
        <w:t xml:space="preserve"> - Le secrétariat est assuré par le SIMV en liaison avec le président du jury.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438C7E5" w14:textId="77777777" w:rsidR="00586B4A" w:rsidRDefault="00AD2C6F">
      <w:pPr>
        <w:spacing w:after="0" w:line="259" w:lineRule="auto"/>
        <w:ind w:left="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598D55" w14:textId="77777777" w:rsidR="00586B4A" w:rsidRDefault="00AD2C6F">
      <w:pPr>
        <w:ind w:left="-5"/>
      </w:pPr>
      <w:r>
        <w:rPr>
          <w:b/>
        </w:rPr>
        <w:t>Article 9</w:t>
      </w:r>
      <w:r>
        <w:t xml:space="preserve"> - Le montant du Prix </w:t>
      </w:r>
      <w:r w:rsidR="00877F97">
        <w:t xml:space="preserve">accordé par le SIMV </w:t>
      </w:r>
      <w:r>
        <w:t>est révisable chaque année pour l'exercice suivant. Il est fixé à 1 000 € pour le prix 201</w:t>
      </w:r>
      <w:r w:rsidR="00B7422D">
        <w:t>9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8FDA5C" w14:textId="77777777" w:rsidR="00586B4A" w:rsidRDefault="00AD2C6F">
      <w:pPr>
        <w:spacing w:after="17" w:line="259" w:lineRule="auto"/>
        <w:ind w:left="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B8C53B" w14:textId="44B64EF3" w:rsidR="00586B4A" w:rsidRDefault="00AD2C6F">
      <w:pPr>
        <w:spacing w:after="11"/>
        <w:ind w:left="-5"/>
        <w:jc w:val="left"/>
        <w:rPr>
          <w:rFonts w:ascii="Times New Roman" w:eastAsia="Times New Roman" w:hAnsi="Times New Roman" w:cs="Times New Roman"/>
        </w:rPr>
      </w:pPr>
      <w:r>
        <w:rPr>
          <w:b/>
        </w:rPr>
        <w:t>Article 10</w:t>
      </w:r>
      <w:r>
        <w:t xml:space="preserve"> - le SIMV s’engage à assurer la promotion des travaux du prix, notamment via son site internet</w:t>
      </w:r>
      <w:r w:rsidR="00877F97">
        <w:t xml:space="preserve"> ainsi que sur le site du RFSA</w:t>
      </w:r>
      <w: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FFAA9A" w14:textId="0B40A61F" w:rsidR="007F6C87" w:rsidRDefault="007F6C87">
      <w:pPr>
        <w:spacing w:after="11"/>
        <w:ind w:left="-5"/>
        <w:jc w:val="left"/>
      </w:pPr>
    </w:p>
    <w:p w14:paraId="27FA04FF" w14:textId="77777777" w:rsidR="007F6C87" w:rsidRDefault="007F6C87" w:rsidP="007F6C87">
      <w:pPr>
        <w:spacing w:after="16" w:line="240" w:lineRule="auto"/>
        <w:ind w:left="709"/>
        <w:rPr>
          <w:i/>
          <w:iCs/>
        </w:rPr>
      </w:pPr>
    </w:p>
    <w:p w14:paraId="3D9E6156" w14:textId="77777777" w:rsidR="007F6C87" w:rsidRDefault="007F6C87" w:rsidP="007F6C87">
      <w:pPr>
        <w:shd w:val="clear" w:color="auto" w:fill="FFFFFF"/>
        <w:spacing w:after="0" w:line="240" w:lineRule="auto"/>
        <w:ind w:left="709"/>
        <w:rPr>
          <w:i/>
          <w:iCs/>
        </w:rPr>
      </w:pPr>
      <w:r>
        <w:rPr>
          <w:i/>
          <w:iCs/>
          <w:color w:val="0000FF"/>
        </w:rPr>
        <w:t xml:space="preserve"> </w:t>
      </w:r>
      <w:r>
        <w:rPr>
          <w:rFonts w:ascii="Times New Roman" w:eastAsia="Times New Roman" w:hAnsi="Times New Roman"/>
          <w:i/>
          <w:iCs/>
        </w:rPr>
        <w:t xml:space="preserve"> </w:t>
      </w:r>
    </w:p>
    <w:p w14:paraId="4A31B460" w14:textId="77777777" w:rsidR="007F6C87" w:rsidRDefault="007F6C87">
      <w:pPr>
        <w:spacing w:after="11"/>
        <w:ind w:left="-5"/>
        <w:jc w:val="left"/>
      </w:pPr>
    </w:p>
    <w:sectPr w:rsidR="007F6C87">
      <w:footerReference w:type="default" r:id="rId10"/>
      <w:pgSz w:w="11906" w:h="16838"/>
      <w:pgMar w:top="708" w:right="713" w:bottom="10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9882" w14:textId="77777777" w:rsidR="00C80FE3" w:rsidRDefault="00C80FE3" w:rsidP="00AD2C6F">
      <w:pPr>
        <w:spacing w:after="0" w:line="240" w:lineRule="auto"/>
      </w:pPr>
      <w:r>
        <w:separator/>
      </w:r>
    </w:p>
  </w:endnote>
  <w:endnote w:type="continuationSeparator" w:id="0">
    <w:p w14:paraId="2F73D91F" w14:textId="77777777" w:rsidR="00C80FE3" w:rsidRDefault="00C80FE3" w:rsidP="00AD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403936"/>
      <w:docPartObj>
        <w:docPartGallery w:val="Page Numbers (Bottom of Page)"/>
        <w:docPartUnique/>
      </w:docPartObj>
    </w:sdtPr>
    <w:sdtEndPr/>
    <w:sdtContent>
      <w:p w14:paraId="4F830D81" w14:textId="77777777" w:rsidR="00AD2C6F" w:rsidRDefault="00AD2C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9E84D" w14:textId="77777777" w:rsidR="00AD2C6F" w:rsidRDefault="00AD2C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B1AF0" w14:textId="77777777" w:rsidR="00C80FE3" w:rsidRDefault="00C80FE3" w:rsidP="00AD2C6F">
      <w:pPr>
        <w:spacing w:after="0" w:line="240" w:lineRule="auto"/>
      </w:pPr>
      <w:r>
        <w:separator/>
      </w:r>
    </w:p>
  </w:footnote>
  <w:footnote w:type="continuationSeparator" w:id="0">
    <w:p w14:paraId="13EA0EC5" w14:textId="77777777" w:rsidR="00C80FE3" w:rsidRDefault="00C80FE3" w:rsidP="00AD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149C2"/>
    <w:multiLevelType w:val="hybridMultilevel"/>
    <w:tmpl w:val="A844A2EA"/>
    <w:lvl w:ilvl="0" w:tplc="86FA8F4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F81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A006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41C8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64D2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64BF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2420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59D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C88C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4A"/>
    <w:rsid w:val="002C2553"/>
    <w:rsid w:val="00476AFB"/>
    <w:rsid w:val="00560ADC"/>
    <w:rsid w:val="00586B4A"/>
    <w:rsid w:val="005B0F0C"/>
    <w:rsid w:val="005E418F"/>
    <w:rsid w:val="007A0E89"/>
    <w:rsid w:val="007F6C87"/>
    <w:rsid w:val="00877F97"/>
    <w:rsid w:val="00933CB6"/>
    <w:rsid w:val="00942A85"/>
    <w:rsid w:val="00995CFD"/>
    <w:rsid w:val="009F4C3C"/>
    <w:rsid w:val="00A82960"/>
    <w:rsid w:val="00AD2C6F"/>
    <w:rsid w:val="00B055F9"/>
    <w:rsid w:val="00B7422D"/>
    <w:rsid w:val="00BA6EC9"/>
    <w:rsid w:val="00BE40F1"/>
    <w:rsid w:val="00C80FE3"/>
    <w:rsid w:val="00C81D36"/>
    <w:rsid w:val="00CB03EC"/>
    <w:rsid w:val="00CC2451"/>
    <w:rsid w:val="00E42F9D"/>
    <w:rsid w:val="00F2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7363"/>
  <w15:docId w15:val="{FA3A1DB0-318A-485C-9380-7C477D7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C6F"/>
    <w:rPr>
      <w:rFonts w:ascii="Calibri" w:eastAsia="Calibri" w:hAnsi="Calibri" w:cs="Calibri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D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C6F"/>
    <w:rPr>
      <w:rFonts w:ascii="Calibri" w:eastAsia="Calibri" w:hAnsi="Calibri" w:cs="Calibri"/>
      <w:color w:val="00000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451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E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"MERCI LES ECOLES VETERINAIRES" 2011/2012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"MERCI LES ECOLES VETERINAIRES" 2011/2012</dc:title>
  <dc:subject/>
  <dc:creator>Valued Acer Customer</dc:creator>
  <cp:keywords/>
  <cp:lastModifiedBy>Marie Anne BARTHELEMY</cp:lastModifiedBy>
  <cp:revision>4</cp:revision>
  <dcterms:created xsi:type="dcterms:W3CDTF">2019-10-22T09:46:00Z</dcterms:created>
  <dcterms:modified xsi:type="dcterms:W3CDTF">2019-10-24T06:23:00Z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